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napToGrid w:val="0"/>
          <w:sz w:val="44"/>
          <w:szCs w:val="44"/>
        </w:rPr>
      </w:pPr>
      <w:r>
        <w:rPr>
          <w:rFonts w:hint="eastAsia" w:ascii="彩虹小标宋" w:eastAsia="彩虹小标宋"/>
          <w:snapToGrid w:val="0"/>
          <w:sz w:val="44"/>
          <w:szCs w:val="44"/>
        </w:rPr>
        <w:t>采购需求</w:t>
      </w:r>
    </w:p>
    <w:p>
      <w:pPr>
        <w:jc w:val="center"/>
        <w:rPr>
          <w:rFonts w:ascii="彩虹粗仿宋" w:hAnsi="宋体" w:eastAsia="彩虹粗仿宋" w:cs="Times New Roman"/>
          <w:b/>
          <w:snapToGrid w:val="0"/>
          <w:kern w:val="0"/>
          <w:sz w:val="32"/>
          <w:szCs w:val="32"/>
        </w:rPr>
      </w:pP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一、服务供应商要求</w:t>
      </w:r>
    </w:p>
    <w:p>
      <w:pPr>
        <w:pStyle w:val="5"/>
        <w:shd w:val="clear" w:color="auto" w:fill="FFFFFF"/>
        <w:ind w:firstLine="645"/>
        <w:rPr>
          <w:rFonts w:hint="eastAsia" w:ascii="彩虹粗仿宋" w:eastAsia="彩虹粗仿宋" w:hAnsiTheme="minorEastAsia"/>
          <w:sz w:val="32"/>
          <w:szCs w:val="32"/>
        </w:rPr>
      </w:pPr>
      <w:r>
        <w:rPr>
          <w:rFonts w:hint="eastAsia" w:ascii="彩虹粗仿宋" w:eastAsia="彩虹粗仿宋" w:hAnsiTheme="minorEastAsia"/>
          <w:sz w:val="32"/>
          <w:szCs w:val="32"/>
        </w:rPr>
        <w:t>1.</w:t>
      </w:r>
      <w:r>
        <w:rPr>
          <w:rFonts w:hint="eastAsia" w:ascii="彩虹粗仿宋" w:eastAsia="彩虹粗仿宋" w:hAnsiTheme="minorEastAsia"/>
          <w:sz w:val="32"/>
          <w:szCs w:val="32"/>
        </w:rPr>
        <w:t>企业必须是在中华人民共和国境内注册的具有独立承担民事责任能力的法人，注册资本须在500万元人民币（或等值外币）及以上。</w:t>
      </w:r>
    </w:p>
    <w:p>
      <w:pPr>
        <w:pStyle w:val="5"/>
        <w:shd w:val="clear" w:color="auto" w:fill="FFFFFF"/>
        <w:ind w:firstLine="645"/>
        <w:rPr>
          <w:rFonts w:hint="eastAsia" w:ascii="彩虹粗仿宋" w:eastAsia="彩虹粗仿宋" w:hAnsiTheme="minorEastAsia"/>
          <w:sz w:val="32"/>
          <w:szCs w:val="32"/>
        </w:rPr>
      </w:pPr>
      <w:r>
        <w:rPr>
          <w:rFonts w:hint="eastAsia" w:ascii="彩虹粗仿宋" w:eastAsia="彩虹粗仿宋" w:hAnsiTheme="minorEastAsia"/>
          <w:sz w:val="32"/>
          <w:szCs w:val="32"/>
        </w:rPr>
        <w:t>2.</w:t>
      </w:r>
      <w:r>
        <w:rPr>
          <w:rFonts w:hint="eastAsia" w:ascii="彩虹粗仿宋" w:eastAsia="彩虹粗仿宋" w:hAnsiTheme="minorEastAsia"/>
          <w:sz w:val="32"/>
          <w:szCs w:val="32"/>
        </w:rPr>
        <w:t>企业须有固定的营业场所</w:t>
      </w:r>
    </w:p>
    <w:p>
      <w:pPr>
        <w:pStyle w:val="5"/>
        <w:shd w:val="clear" w:color="auto" w:fill="FFFFFF"/>
        <w:ind w:firstLine="645"/>
        <w:rPr>
          <w:rFonts w:hint="eastAsia" w:ascii="彩虹粗仿宋" w:eastAsia="彩虹粗仿宋" w:hAnsiTheme="minorEastAsia"/>
          <w:sz w:val="32"/>
          <w:szCs w:val="32"/>
          <w:lang w:val="en-US" w:eastAsia="zh-CN"/>
        </w:rPr>
      </w:pPr>
      <w:r>
        <w:rPr>
          <w:rFonts w:hint="eastAsia" w:ascii="彩虹粗仿宋" w:eastAsia="彩虹粗仿宋" w:hAnsiTheme="minorEastAsia"/>
          <w:sz w:val="32"/>
          <w:szCs w:val="32"/>
          <w:lang w:val="en-US" w:eastAsia="zh-CN"/>
        </w:rPr>
        <w:t>3.供应商须具备高新技术企业证书及项目相关的软件著作权。</w:t>
      </w:r>
    </w:p>
    <w:p>
      <w:pPr>
        <w:pStyle w:val="5"/>
        <w:shd w:val="clear" w:color="auto" w:fill="FFFFFF"/>
        <w:ind w:firstLine="645"/>
        <w:rPr>
          <w:rFonts w:hint="eastAsia" w:ascii="彩虹粗仿宋" w:eastAsia="彩虹粗仿宋" w:hAnsiTheme="minorEastAsia"/>
          <w:sz w:val="32"/>
          <w:szCs w:val="32"/>
          <w:lang w:eastAsia="zh-CN"/>
        </w:rPr>
      </w:pPr>
      <w:r>
        <w:rPr>
          <w:rFonts w:hint="eastAsia" w:ascii="彩虹粗仿宋" w:eastAsia="彩虹粗仿宋" w:hAnsiTheme="minorEastAsia"/>
          <w:sz w:val="32"/>
          <w:szCs w:val="32"/>
          <w:lang w:val="en-US" w:eastAsia="zh-CN"/>
        </w:rPr>
        <w:t>4.供应商所提供的配套硬件设备协作平板须具有</w:t>
      </w:r>
      <w:r>
        <w:rPr>
          <w:rFonts w:hint="eastAsia" w:ascii="彩虹粗仿宋" w:eastAsia="彩虹粗仿宋" w:hAnsiTheme="minorEastAsia"/>
          <w:sz w:val="32"/>
          <w:szCs w:val="32"/>
        </w:rPr>
        <w:t>中国国家强制性产品认证证书及中国节能产品认证证书等资质证书</w:t>
      </w:r>
      <w:r>
        <w:rPr>
          <w:rFonts w:hint="eastAsia" w:ascii="彩虹粗仿宋" w:eastAsia="彩虹粗仿宋" w:hAnsiTheme="minorEastAsia"/>
          <w:sz w:val="32"/>
          <w:szCs w:val="32"/>
          <w:lang w:eastAsia="zh-CN"/>
        </w:rPr>
        <w:t>。</w:t>
      </w:r>
    </w:p>
    <w:p>
      <w:pPr>
        <w:pStyle w:val="5"/>
        <w:shd w:val="clear" w:color="auto" w:fill="FFFFFF"/>
        <w:ind w:firstLine="645"/>
        <w:rPr>
          <w:rFonts w:hint="eastAsia" w:ascii="彩虹粗仿宋" w:eastAsia="彩虹粗仿宋" w:hAnsiTheme="minorEastAsia"/>
          <w:sz w:val="32"/>
          <w:szCs w:val="32"/>
          <w:lang w:val="en-US" w:eastAsia="zh-CN"/>
        </w:rPr>
      </w:pPr>
      <w:r>
        <w:rPr>
          <w:rFonts w:hint="eastAsia" w:ascii="彩虹粗仿宋" w:eastAsia="彩虹粗仿宋" w:hAnsiTheme="minorEastAsia"/>
          <w:sz w:val="32"/>
          <w:szCs w:val="32"/>
          <w:lang w:val="en-US" w:eastAsia="zh-CN"/>
        </w:rPr>
        <w:t>5.</w:t>
      </w:r>
      <w:r>
        <w:rPr>
          <w:rFonts w:hint="eastAsia" w:ascii="彩虹粗仿宋" w:eastAsia="彩虹粗仿宋" w:hAnsiTheme="minorEastAsia"/>
          <w:sz w:val="32"/>
          <w:szCs w:val="32"/>
        </w:rPr>
        <w:t>供应商如果是代理经销商</w:t>
      </w:r>
      <w:r>
        <w:rPr>
          <w:rFonts w:hint="eastAsia" w:ascii="彩虹粗仿宋" w:eastAsia="彩虹粗仿宋" w:hAnsiTheme="minorEastAsia"/>
          <w:sz w:val="32"/>
          <w:szCs w:val="32"/>
          <w:lang w:val="en-US" w:eastAsia="zh-CN"/>
        </w:rPr>
        <w:t>须</w:t>
      </w:r>
      <w:r>
        <w:rPr>
          <w:rFonts w:hint="eastAsia" w:ascii="彩虹粗仿宋" w:eastAsia="彩虹粗仿宋" w:hAnsiTheme="minorEastAsia"/>
          <w:sz w:val="32"/>
          <w:szCs w:val="32"/>
        </w:rPr>
        <w:t>具备原厂商的代理资质或授权证明</w:t>
      </w:r>
      <w:r>
        <w:rPr>
          <w:rFonts w:hint="eastAsia" w:ascii="彩虹粗仿宋" w:eastAsia="彩虹粗仿宋" w:hAnsiTheme="minorEastAsia"/>
          <w:sz w:val="32"/>
          <w:szCs w:val="32"/>
          <w:lang w:eastAsia="zh-CN"/>
        </w:rPr>
        <w:t>。</w:t>
      </w:r>
    </w:p>
    <w:p>
      <w:pPr>
        <w:pStyle w:val="5"/>
        <w:shd w:val="clear" w:color="auto" w:fill="FFFFFF"/>
        <w:ind w:firstLine="645"/>
        <w:rPr>
          <w:rFonts w:hint="eastAsia" w:ascii="彩虹粗仿宋" w:eastAsia="彩虹粗仿宋" w:hAnsiTheme="minorEastAsia"/>
          <w:sz w:val="32"/>
          <w:szCs w:val="32"/>
        </w:rPr>
      </w:pPr>
      <w:r>
        <w:rPr>
          <w:rFonts w:hint="eastAsia" w:ascii="彩虹粗仿宋" w:eastAsia="彩虹粗仿宋" w:hAnsiTheme="minorEastAsia"/>
          <w:sz w:val="32"/>
          <w:szCs w:val="32"/>
          <w:lang w:val="en-US" w:eastAsia="zh-CN"/>
        </w:rPr>
        <w:t>6</w:t>
      </w:r>
      <w:r>
        <w:rPr>
          <w:rFonts w:hint="eastAsia" w:ascii="彩虹粗仿宋" w:eastAsia="彩虹粗仿宋" w:hAnsiTheme="minorEastAsia"/>
          <w:sz w:val="32"/>
          <w:szCs w:val="32"/>
        </w:rPr>
        <w:t>.企业需成立三年以上，经营状况正常且最近一年净利润为正数。</w:t>
      </w:r>
    </w:p>
    <w:p>
      <w:pPr>
        <w:pStyle w:val="5"/>
        <w:shd w:val="clear" w:color="auto" w:fill="FFFFFF"/>
        <w:ind w:firstLine="645"/>
        <w:rPr>
          <w:rFonts w:hint="eastAsia" w:ascii="彩虹粗仿宋" w:eastAsia="彩虹粗仿宋" w:hAnsiTheme="minorEastAsia"/>
          <w:sz w:val="32"/>
          <w:szCs w:val="32"/>
          <w:lang w:eastAsia="zh-CN"/>
        </w:rPr>
      </w:pPr>
      <w:r>
        <w:rPr>
          <w:rFonts w:hint="eastAsia" w:ascii="彩虹粗仿宋" w:eastAsia="彩虹粗仿宋" w:hAnsiTheme="minorEastAsia"/>
          <w:sz w:val="32"/>
          <w:szCs w:val="32"/>
          <w:lang w:val="en-US" w:eastAsia="zh-CN"/>
        </w:rPr>
        <w:t>7</w:t>
      </w:r>
      <w:r>
        <w:rPr>
          <w:rFonts w:hint="eastAsia" w:ascii="彩虹粗仿宋" w:eastAsia="彩虹粗仿宋" w:hAnsiTheme="minorEastAsia"/>
          <w:sz w:val="32"/>
          <w:szCs w:val="32"/>
        </w:rPr>
        <w:t>.法定代表人（负责人）为同一人或存在控股、管理关系的不同申请人，不得同时参加本项目</w:t>
      </w:r>
      <w:r>
        <w:rPr>
          <w:rFonts w:hint="eastAsia" w:ascii="彩虹粗仿宋" w:eastAsia="彩虹粗仿宋" w:hAnsiTheme="minorEastAsia"/>
          <w:sz w:val="32"/>
          <w:szCs w:val="32"/>
          <w:lang w:eastAsia="zh-CN"/>
        </w:rPr>
        <w:t>。</w:t>
      </w:r>
    </w:p>
    <w:p>
      <w:pPr>
        <w:pStyle w:val="5"/>
        <w:shd w:val="clear" w:color="auto" w:fill="FFFFFF"/>
        <w:ind w:firstLine="645"/>
        <w:rPr>
          <w:rFonts w:hint="eastAsia" w:ascii="彩虹粗仿宋" w:eastAsia="彩虹粗仿宋" w:hAnsiTheme="minorEastAsia"/>
          <w:sz w:val="32"/>
          <w:szCs w:val="32"/>
          <w:lang w:eastAsia="zh-CN"/>
        </w:rPr>
      </w:pPr>
      <w:r>
        <w:rPr>
          <w:rFonts w:hint="eastAsia" w:ascii="彩虹粗仿宋" w:eastAsia="彩虹粗仿宋" w:hAnsiTheme="minorEastAsia"/>
          <w:sz w:val="32"/>
          <w:szCs w:val="32"/>
          <w:lang w:val="en-US" w:eastAsia="zh-CN"/>
        </w:rPr>
        <w:t>8</w:t>
      </w:r>
      <w:r>
        <w:rPr>
          <w:rFonts w:hint="eastAsia" w:ascii="彩虹粗仿宋" w:eastAsia="彩虹粗仿宋" w:hAnsiTheme="minorEastAsia"/>
          <w:sz w:val="32"/>
          <w:szCs w:val="32"/>
        </w:rPr>
        <w:t>.供应商提供的提供的产品或服务不存在任何侵犯第三方知识产权的情形</w:t>
      </w:r>
      <w:r>
        <w:rPr>
          <w:rFonts w:hint="eastAsia" w:ascii="彩虹粗仿宋" w:eastAsia="彩虹粗仿宋" w:hAnsiTheme="minorEastAsia"/>
          <w:sz w:val="32"/>
          <w:szCs w:val="32"/>
          <w:lang w:eastAsia="zh-CN"/>
        </w:rPr>
        <w:t>。</w:t>
      </w:r>
    </w:p>
    <w:p>
      <w:pPr>
        <w:pStyle w:val="5"/>
        <w:shd w:val="clear" w:color="auto" w:fill="FFFFFF"/>
        <w:ind w:firstLine="645"/>
        <w:rPr>
          <w:rFonts w:hint="eastAsia" w:ascii="彩虹粗仿宋" w:eastAsia="彩虹粗仿宋" w:hAnsiTheme="minorEastAsia"/>
          <w:sz w:val="32"/>
          <w:szCs w:val="32"/>
          <w:lang w:val="en-US" w:eastAsia="zh-CN"/>
        </w:rPr>
      </w:pPr>
      <w:r>
        <w:rPr>
          <w:rFonts w:hint="eastAsia" w:ascii="彩虹粗仿宋" w:eastAsia="彩虹粗仿宋" w:hAnsiTheme="minorEastAsia"/>
          <w:sz w:val="32"/>
          <w:szCs w:val="32"/>
          <w:lang w:val="en-US" w:eastAsia="zh-CN"/>
        </w:rPr>
        <w:t>9</w:t>
      </w:r>
      <w:r>
        <w:rPr>
          <w:rFonts w:hint="eastAsia" w:ascii="彩虹粗仿宋" w:eastAsia="彩虹粗仿宋" w:hAnsiTheme="minorEastAsia"/>
          <w:sz w:val="32"/>
          <w:szCs w:val="32"/>
        </w:rPr>
        <w:t>.企业近3年具有与银行业合作的同类型案例</w:t>
      </w:r>
      <w:r>
        <w:rPr>
          <w:rFonts w:hint="eastAsia" w:ascii="彩虹粗仿宋" w:eastAsia="彩虹粗仿宋" w:hAnsiTheme="minorEastAsia"/>
          <w:sz w:val="32"/>
          <w:szCs w:val="32"/>
          <w:lang w:eastAsia="zh-CN"/>
        </w:rPr>
        <w:t>。</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二、对于拟采购设备（物品）的要求</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（一）基本要求</w:t>
      </w:r>
    </w:p>
    <w:p>
      <w:pPr>
        <w:pStyle w:val="5"/>
        <w:shd w:val="clear" w:color="auto" w:fill="FFFFFF"/>
        <w:ind w:firstLine="645"/>
        <w:rPr>
          <w:rFonts w:hint="default" w:ascii="彩虹粗仿宋" w:eastAsia="彩虹粗仿宋" w:hAnsiTheme="minorEastAsia"/>
          <w:sz w:val="32"/>
          <w:szCs w:val="32"/>
          <w:lang w:val="en-US" w:eastAsia="zh-CN"/>
        </w:rPr>
      </w:pPr>
      <w:r>
        <w:rPr>
          <w:rFonts w:hint="eastAsia" w:ascii="彩虹粗仿宋" w:eastAsia="彩虹粗仿宋" w:hAnsiTheme="minorEastAsia"/>
          <w:sz w:val="32"/>
          <w:szCs w:val="32"/>
        </w:rPr>
        <w:t>为福建省翔安监狱建设“服刑人员数智金融管理一体化</w:t>
      </w:r>
      <w:r>
        <w:rPr>
          <w:rFonts w:hint="eastAsia" w:ascii="彩虹粗仿宋" w:eastAsia="彩虹粗仿宋" w:hAnsiTheme="minorEastAsia"/>
          <w:sz w:val="32"/>
          <w:szCs w:val="32"/>
          <w:lang w:val="en-US" w:eastAsia="zh-CN"/>
        </w:rPr>
        <w:t>系统集成服务</w:t>
      </w:r>
      <w:r>
        <w:rPr>
          <w:rFonts w:hint="eastAsia" w:ascii="彩虹粗仿宋" w:eastAsia="彩虹粗仿宋" w:hAnsiTheme="minorEastAsia"/>
          <w:sz w:val="32"/>
          <w:szCs w:val="32"/>
        </w:rPr>
        <w:t>”</w:t>
      </w:r>
      <w:r>
        <w:rPr>
          <w:rFonts w:hint="eastAsia" w:ascii="彩虹粗仿宋" w:eastAsia="彩虹粗仿宋" w:hAnsiTheme="minorEastAsia"/>
          <w:sz w:val="32"/>
          <w:szCs w:val="32"/>
          <w:lang w:eastAsia="zh-CN"/>
        </w:rPr>
        <w:t>，</w:t>
      </w:r>
      <w:r>
        <w:rPr>
          <w:rFonts w:hint="eastAsia" w:ascii="彩虹粗仿宋" w:eastAsia="彩虹粗仿宋" w:hAnsiTheme="minorEastAsia"/>
          <w:sz w:val="32"/>
          <w:szCs w:val="32"/>
          <w:lang w:val="en-US" w:eastAsia="zh-CN"/>
        </w:rPr>
        <w:t>采购内容包括软件系统开发及相关配套硬件设备。</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（二）服务内容</w:t>
      </w:r>
    </w:p>
    <w:p>
      <w:pPr>
        <w:pStyle w:val="5"/>
        <w:shd w:val="clear" w:color="auto" w:fill="FFFFFF"/>
        <w:ind w:firstLine="645"/>
        <w:rPr>
          <w:rFonts w:hint="eastAsia" w:ascii="彩虹粗仿宋" w:eastAsia="彩虹粗仿宋" w:hAnsiTheme="minorEastAsia"/>
          <w:sz w:val="32"/>
          <w:szCs w:val="32"/>
        </w:rPr>
      </w:pPr>
      <w:bookmarkStart w:id="0" w:name="_Hlk117600423"/>
      <w:r>
        <w:rPr>
          <w:rFonts w:hint="eastAsia" w:ascii="彩虹粗仿宋" w:eastAsia="彩虹粗仿宋" w:hAnsiTheme="minorEastAsia"/>
          <w:sz w:val="32"/>
          <w:szCs w:val="32"/>
        </w:rPr>
        <w:t>1、软件</w:t>
      </w:r>
      <w:r>
        <w:rPr>
          <w:rFonts w:hint="eastAsia" w:ascii="彩虹粗仿宋" w:eastAsia="彩虹粗仿宋" w:hAnsiTheme="minorEastAsia"/>
          <w:sz w:val="32"/>
          <w:szCs w:val="32"/>
          <w:lang w:val="en-US" w:eastAsia="zh-CN"/>
        </w:rPr>
        <w:t>系统开发需求</w:t>
      </w:r>
      <w:r>
        <w:rPr>
          <w:rFonts w:hint="eastAsia" w:ascii="彩虹粗仿宋" w:eastAsia="彩虹粗仿宋" w:hAnsiTheme="minorEastAsia"/>
          <w:sz w:val="32"/>
          <w:szCs w:val="32"/>
        </w:rPr>
        <w:t>：</w:t>
      </w:r>
    </w:p>
    <w:p>
      <w:pPr>
        <w:pStyle w:val="5"/>
        <w:shd w:val="clear" w:color="auto" w:fill="FFFFFF"/>
        <w:ind w:firstLine="645"/>
        <w:rPr>
          <w:rFonts w:hint="eastAsia" w:ascii="彩虹粗仿宋" w:eastAsia="彩虹粗仿宋" w:hAnsiTheme="minorEastAsia"/>
          <w:sz w:val="32"/>
          <w:szCs w:val="32"/>
        </w:rPr>
      </w:pPr>
      <w:r>
        <w:rPr>
          <w:rFonts w:hint="eastAsia" w:ascii="彩虹粗仿宋" w:eastAsia="彩虹粗仿宋" w:hAnsiTheme="minorEastAsia"/>
          <w:sz w:val="32"/>
          <w:szCs w:val="32"/>
        </w:rPr>
        <w:t>“服刑人员数智金融管理一体化</w:t>
      </w:r>
      <w:r>
        <w:rPr>
          <w:rFonts w:hint="eastAsia" w:ascii="彩虹粗仿宋" w:eastAsia="彩虹粗仿宋" w:hAnsiTheme="minorEastAsia"/>
          <w:sz w:val="32"/>
          <w:szCs w:val="32"/>
          <w:lang w:val="en-US" w:eastAsia="zh-CN"/>
        </w:rPr>
        <w:t>系统集成服务</w:t>
      </w:r>
      <w:r>
        <w:rPr>
          <w:rFonts w:hint="eastAsia" w:ascii="彩虹粗仿宋" w:eastAsia="彩虹粗仿宋" w:hAnsiTheme="minorEastAsia"/>
          <w:sz w:val="32"/>
          <w:szCs w:val="32"/>
        </w:rPr>
        <w:t>”是基于服刑人员入监、进账、消费、离监各阶段中的金融消费场景，结合监狱相关狱政需求而推出的软硬件一体化产品解决方案，致力于在亲属服务、电子购物、金融服务、狱政服务等多个环节帮助监狱管理人员提升工作自动化程度，辅助建构智慧、便捷、安全、可靠的监狱数智化管理体系。</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10"/>
        <w:gridCol w:w="1275"/>
        <w:gridCol w:w="3571"/>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tcPr>
          <w:p>
            <w:pPr>
              <w:spacing w:line="580" w:lineRule="exact"/>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序号</w:t>
            </w:r>
          </w:p>
        </w:tc>
        <w:tc>
          <w:tcPr>
            <w:tcW w:w="827" w:type="pct"/>
          </w:tcPr>
          <w:p>
            <w:pPr>
              <w:spacing w:line="580" w:lineRule="exact"/>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软件名称</w:t>
            </w:r>
          </w:p>
        </w:tc>
        <w:tc>
          <w:tcPr>
            <w:tcW w:w="748" w:type="pct"/>
          </w:tcPr>
          <w:p>
            <w:pPr>
              <w:spacing w:line="580" w:lineRule="exact"/>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子系统</w:t>
            </w:r>
          </w:p>
        </w:tc>
        <w:tc>
          <w:tcPr>
            <w:tcW w:w="2095" w:type="pct"/>
          </w:tcPr>
          <w:p>
            <w:pPr>
              <w:spacing w:line="580" w:lineRule="exact"/>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功能配置说明</w:t>
            </w:r>
          </w:p>
        </w:tc>
        <w:tc>
          <w:tcPr>
            <w:tcW w:w="843" w:type="pct"/>
          </w:tcPr>
          <w:p>
            <w:pPr>
              <w:spacing w:line="580" w:lineRule="exact"/>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restart"/>
            <w:vAlign w:val="center"/>
          </w:tcPr>
          <w:p>
            <w:pPr>
              <w:spacing w:line="580" w:lineRule="exact"/>
              <w:jc w:val="center"/>
              <w:rPr>
                <w:rFonts w:ascii="宋体" w:hAnsi="宋体" w:eastAsia="宋体" w:cs="宋体"/>
                <w:snapToGrid w:val="0"/>
                <w:kern w:val="0"/>
                <w:sz w:val="24"/>
                <w:szCs w:val="24"/>
              </w:rPr>
            </w:pPr>
            <w:r>
              <w:rPr>
                <w:rFonts w:hint="eastAsia" w:ascii="宋体" w:hAnsi="宋体" w:eastAsia="宋体" w:cs="宋体"/>
                <w:snapToGrid w:val="0"/>
                <w:kern w:val="0"/>
                <w:sz w:val="24"/>
                <w:szCs w:val="24"/>
              </w:rPr>
              <w:t>1</w:t>
            </w:r>
          </w:p>
        </w:tc>
        <w:tc>
          <w:tcPr>
            <w:tcW w:w="827" w:type="pct"/>
            <w:vMerge w:val="restart"/>
            <w:vAlign w:val="center"/>
          </w:tcPr>
          <w:p>
            <w:pPr>
              <w:spacing w:line="580" w:lineRule="exact"/>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rPr>
              <w:t>服刑人员数智金融管理一体化</w:t>
            </w:r>
            <w:r>
              <w:rPr>
                <w:rFonts w:hint="eastAsia" w:ascii="宋体" w:hAnsi="宋体" w:eastAsia="宋体" w:cs="宋体"/>
                <w:snapToGrid w:val="0"/>
                <w:kern w:val="0"/>
                <w:sz w:val="24"/>
                <w:szCs w:val="24"/>
                <w:lang w:val="en-US" w:eastAsia="zh-CN"/>
              </w:rPr>
              <w:t>平台</w:t>
            </w:r>
          </w:p>
        </w:tc>
        <w:tc>
          <w:tcPr>
            <w:tcW w:w="748" w:type="pct"/>
            <w:vAlign w:val="center"/>
          </w:tcPr>
          <w:p>
            <w:pPr>
              <w:widowControl/>
              <w:spacing w:after="210"/>
              <w:jc w:val="center"/>
              <w:textAlignment w:val="center"/>
              <w:rPr>
                <w:rFonts w:ascii="宋体" w:hAnsi="宋体" w:eastAsia="宋体" w:cs="宋体"/>
                <w:snapToGrid w:val="0"/>
                <w:kern w:val="0"/>
                <w:sz w:val="24"/>
                <w:szCs w:val="24"/>
              </w:rPr>
            </w:pPr>
            <w:r>
              <w:rPr>
                <w:rFonts w:hint="eastAsia" w:ascii="宋体" w:hAnsi="宋体" w:eastAsia="宋体" w:cs="宋体"/>
                <w:color w:val="000000"/>
                <w:kern w:val="0"/>
                <w:sz w:val="24"/>
                <w:szCs w:val="24"/>
                <w:lang w:bidi="ar"/>
              </w:rPr>
              <w:t>服刑人员大帐管理系统</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br w:type="textWrapping"/>
            </w:r>
          </w:p>
        </w:tc>
        <w:tc>
          <w:tcPr>
            <w:tcW w:w="2095" w:type="pct"/>
          </w:tcPr>
          <w:p>
            <w:pPr>
              <w:widowControl/>
              <w:jc w:val="left"/>
              <w:textAlignment w:val="top"/>
              <w:rPr>
                <w:rFonts w:ascii="彩虹粗仿宋" w:hAnsi="宋体" w:eastAsia="彩虹粗仿宋" w:cs="Times New Roman"/>
                <w:snapToGrid w:val="0"/>
                <w:kern w:val="0"/>
                <w:sz w:val="32"/>
                <w:szCs w:val="32"/>
              </w:rPr>
            </w:pPr>
            <w:r>
              <w:rPr>
                <w:rFonts w:ascii="宋体" w:hAnsi="宋体" w:eastAsia="宋体" w:cs="宋体"/>
                <w:color w:val="000000"/>
                <w:kern w:val="0"/>
                <w:sz w:val="24"/>
                <w:szCs w:val="24"/>
                <w:lang w:bidi="ar"/>
              </w:rPr>
              <w:t xml:space="preserve">为不同权属、用途的资金进行独 立管理、计息、核算。实现服刑 人员自动开立子账户;实现“一 人一户”资金权属和资金流向清 晰;实现亲属收汇款与服刑人员 自动关联，自动入账等功能。 </w:t>
            </w:r>
          </w:p>
        </w:tc>
        <w:tc>
          <w:tcPr>
            <w:tcW w:w="843" w:type="pct"/>
            <w:vMerge w:val="restart"/>
            <w:vAlign w:val="center"/>
          </w:tcPr>
          <w:p>
            <w:pPr>
              <w:widowControl/>
              <w:jc w:val="center"/>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tcPr>
          <w:p>
            <w:pPr>
              <w:spacing w:line="580" w:lineRule="exact"/>
              <w:rPr>
                <w:rFonts w:ascii="宋体" w:hAnsi="宋体" w:eastAsia="宋体" w:cs="宋体"/>
                <w:snapToGrid w:val="0"/>
                <w:kern w:val="0"/>
                <w:sz w:val="24"/>
                <w:szCs w:val="24"/>
              </w:rPr>
            </w:pPr>
          </w:p>
        </w:tc>
        <w:tc>
          <w:tcPr>
            <w:tcW w:w="827" w:type="pct"/>
            <w:vMerge w:val="continue"/>
          </w:tcPr>
          <w:p>
            <w:pPr>
              <w:spacing w:line="580" w:lineRule="exact"/>
              <w:rPr>
                <w:rFonts w:ascii="宋体" w:hAnsi="宋体" w:eastAsia="宋体" w:cs="宋体"/>
                <w:snapToGrid w:val="0"/>
                <w:kern w:val="0"/>
                <w:sz w:val="24"/>
                <w:szCs w:val="24"/>
              </w:rPr>
            </w:pPr>
          </w:p>
        </w:tc>
        <w:tc>
          <w:tcPr>
            <w:tcW w:w="748" w:type="pct"/>
            <w:vAlign w:val="center"/>
          </w:tcPr>
          <w:p>
            <w:pPr>
              <w:widowControl/>
              <w:jc w:val="center"/>
              <w:textAlignment w:val="center"/>
              <w:rPr>
                <w:rFonts w:ascii="宋体" w:hAnsi="宋体" w:eastAsia="宋体" w:cs="宋体"/>
                <w:snapToGrid w:val="0"/>
                <w:kern w:val="0"/>
                <w:sz w:val="24"/>
                <w:szCs w:val="24"/>
              </w:rPr>
            </w:pPr>
            <w:r>
              <w:rPr>
                <w:rFonts w:hint="eastAsia" w:ascii="宋体" w:hAnsi="宋体" w:eastAsia="宋体" w:cs="宋体"/>
                <w:color w:val="000000"/>
                <w:kern w:val="0"/>
                <w:sz w:val="24"/>
                <w:szCs w:val="24"/>
                <w:lang w:bidi="ar"/>
              </w:rPr>
              <w:t>银企直连分户资金管理子系统（银行接口）</w:t>
            </w:r>
          </w:p>
        </w:tc>
        <w:tc>
          <w:tcPr>
            <w:tcW w:w="2095" w:type="pct"/>
          </w:tcPr>
          <w:p>
            <w:pPr>
              <w:widowControl/>
              <w:jc w:val="left"/>
              <w:textAlignment w:val="top"/>
              <w:rPr>
                <w:rFonts w:ascii="彩虹粗仿宋" w:hAnsi="宋体" w:eastAsia="彩虹粗仿宋" w:cs="Times New Roman"/>
                <w:snapToGrid w:val="0"/>
                <w:kern w:val="0"/>
                <w:sz w:val="32"/>
                <w:szCs w:val="32"/>
              </w:rPr>
            </w:pPr>
            <w:r>
              <w:rPr>
                <w:rFonts w:ascii="宋体" w:hAnsi="宋体" w:eastAsia="宋体" w:cs="宋体"/>
                <w:color w:val="000000"/>
                <w:kern w:val="0"/>
                <w:sz w:val="24"/>
                <w:szCs w:val="24"/>
                <w:lang w:bidi="ar"/>
              </w:rPr>
              <w:t>实现银行银企直联对接，联动银 行核心完成服刑人员子账户自动 生成/管理、各类代发代收、交易 实时到账的底层逻辑实现;实现 互联网聚合支付渠道对接，实现 互联网实时收汇转账交易及相关 结果查询功能。通过多种技术手 段保证交易过程的安全、留痕、 可追溯和交易的最终一致性。</w:t>
            </w:r>
          </w:p>
        </w:tc>
        <w:tc>
          <w:tcPr>
            <w:tcW w:w="843" w:type="pct"/>
            <w:vMerge w:val="continue"/>
          </w:tcPr>
          <w:p>
            <w:pPr>
              <w:widowControl/>
              <w:jc w:val="left"/>
              <w:textAlignment w:val="top"/>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tcPr>
          <w:p>
            <w:pPr>
              <w:spacing w:line="580" w:lineRule="exact"/>
              <w:rPr>
                <w:rFonts w:ascii="宋体" w:hAnsi="宋体" w:eastAsia="宋体" w:cs="宋体"/>
                <w:snapToGrid w:val="0"/>
                <w:kern w:val="0"/>
                <w:sz w:val="24"/>
                <w:szCs w:val="24"/>
              </w:rPr>
            </w:pPr>
          </w:p>
        </w:tc>
        <w:tc>
          <w:tcPr>
            <w:tcW w:w="827" w:type="pct"/>
            <w:vMerge w:val="continue"/>
          </w:tcPr>
          <w:p>
            <w:pPr>
              <w:spacing w:line="580" w:lineRule="exact"/>
              <w:rPr>
                <w:rFonts w:ascii="宋体" w:hAnsi="宋体" w:eastAsia="宋体" w:cs="宋体"/>
                <w:snapToGrid w:val="0"/>
                <w:kern w:val="0"/>
                <w:sz w:val="24"/>
                <w:szCs w:val="24"/>
              </w:rPr>
            </w:pPr>
          </w:p>
        </w:tc>
        <w:tc>
          <w:tcPr>
            <w:tcW w:w="748" w:type="pct"/>
            <w:vAlign w:val="center"/>
          </w:tcPr>
          <w:p>
            <w:pPr>
              <w:widowControl/>
              <w:jc w:val="center"/>
              <w:textAlignment w:val="center"/>
              <w:rPr>
                <w:rFonts w:ascii="宋体" w:hAnsi="宋体" w:eastAsia="宋体" w:cs="宋体"/>
                <w:snapToGrid w:val="0"/>
                <w:kern w:val="0"/>
                <w:sz w:val="24"/>
                <w:szCs w:val="24"/>
              </w:rPr>
            </w:pPr>
            <w:r>
              <w:rPr>
                <w:rFonts w:hint="eastAsia" w:ascii="宋体" w:hAnsi="宋体" w:eastAsia="宋体" w:cs="宋体"/>
                <w:color w:val="000000"/>
                <w:kern w:val="0"/>
                <w:sz w:val="24"/>
                <w:szCs w:val="24"/>
                <w:lang w:bidi="ar"/>
              </w:rPr>
              <w:t>亲属服务子系统</w:t>
            </w:r>
          </w:p>
        </w:tc>
        <w:tc>
          <w:tcPr>
            <w:tcW w:w="2095" w:type="pct"/>
          </w:tcPr>
          <w:p>
            <w:pPr>
              <w:widowControl/>
              <w:jc w:val="left"/>
              <w:textAlignment w:val="top"/>
              <w:rPr>
                <w:rFonts w:ascii="彩虹粗仿宋" w:hAnsi="宋体" w:eastAsia="彩虹粗仿宋" w:cs="Times New Roman"/>
                <w:snapToGrid w:val="0"/>
                <w:kern w:val="0"/>
                <w:sz w:val="32"/>
                <w:szCs w:val="32"/>
              </w:rPr>
            </w:pPr>
            <w:r>
              <w:rPr>
                <w:rFonts w:ascii="宋体" w:hAnsi="宋体" w:eastAsia="宋体" w:cs="宋体"/>
                <w:color w:val="000000"/>
                <w:kern w:val="0"/>
                <w:sz w:val="24"/>
                <w:szCs w:val="24"/>
                <w:lang w:bidi="ar"/>
              </w:rPr>
              <w:t>亲属可通过亲情汇款应用向服刑 人员汇款、查询汇款记录。支持 设置仅允许犯人亲属进行汇款， 杜绝犯人非法所得现象。</w:t>
            </w:r>
          </w:p>
        </w:tc>
        <w:tc>
          <w:tcPr>
            <w:tcW w:w="843" w:type="pct"/>
            <w:vMerge w:val="continue"/>
          </w:tcPr>
          <w:p>
            <w:pPr>
              <w:widowControl/>
              <w:jc w:val="left"/>
              <w:textAlignment w:val="top"/>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tcPr>
          <w:p>
            <w:pPr>
              <w:spacing w:line="580" w:lineRule="exact"/>
              <w:rPr>
                <w:rFonts w:ascii="宋体" w:hAnsi="宋体" w:eastAsia="宋体" w:cs="宋体"/>
                <w:snapToGrid w:val="0"/>
                <w:kern w:val="0"/>
                <w:sz w:val="24"/>
                <w:szCs w:val="24"/>
              </w:rPr>
            </w:pPr>
          </w:p>
        </w:tc>
        <w:tc>
          <w:tcPr>
            <w:tcW w:w="827" w:type="pct"/>
            <w:vMerge w:val="continue"/>
          </w:tcPr>
          <w:p>
            <w:pPr>
              <w:spacing w:line="580" w:lineRule="exact"/>
              <w:rPr>
                <w:rFonts w:ascii="宋体" w:hAnsi="宋体" w:eastAsia="宋体" w:cs="宋体"/>
                <w:snapToGrid w:val="0"/>
                <w:kern w:val="0"/>
                <w:sz w:val="24"/>
                <w:szCs w:val="24"/>
              </w:rPr>
            </w:pPr>
          </w:p>
        </w:tc>
        <w:tc>
          <w:tcPr>
            <w:tcW w:w="748" w:type="pct"/>
            <w:vAlign w:val="center"/>
          </w:tcPr>
          <w:p>
            <w:pPr>
              <w:widowControl/>
              <w:jc w:val="center"/>
              <w:textAlignment w:val="center"/>
              <w:rPr>
                <w:rFonts w:ascii="宋体" w:hAnsi="宋体" w:eastAsia="宋体" w:cs="宋体"/>
                <w:snapToGrid w:val="0"/>
                <w:kern w:val="0"/>
                <w:sz w:val="24"/>
                <w:szCs w:val="24"/>
              </w:rPr>
            </w:pPr>
            <w:r>
              <w:rPr>
                <w:rFonts w:hint="eastAsia" w:ascii="宋体" w:hAnsi="宋体" w:eastAsia="宋体" w:cs="宋体"/>
                <w:color w:val="000000"/>
                <w:kern w:val="0"/>
                <w:sz w:val="24"/>
                <w:szCs w:val="24"/>
                <w:lang w:bidi="ar"/>
              </w:rPr>
              <w:t>AI人脸信息采集与认证子系统</w:t>
            </w:r>
          </w:p>
        </w:tc>
        <w:tc>
          <w:tcPr>
            <w:tcW w:w="2095" w:type="pct"/>
          </w:tcPr>
          <w:p>
            <w:pPr>
              <w:widowControl/>
              <w:jc w:val="left"/>
              <w:textAlignment w:val="top"/>
              <w:rPr>
                <w:rFonts w:ascii="彩虹粗仿宋" w:hAnsi="宋体" w:eastAsia="彩虹粗仿宋" w:cs="Times New Roman"/>
                <w:snapToGrid w:val="0"/>
                <w:kern w:val="0"/>
                <w:sz w:val="32"/>
                <w:szCs w:val="32"/>
              </w:rPr>
            </w:pPr>
            <w:r>
              <w:rPr>
                <w:rFonts w:ascii="宋体" w:hAnsi="宋体" w:eastAsia="宋体" w:cs="宋体"/>
                <w:color w:val="000000"/>
                <w:kern w:val="0"/>
                <w:sz w:val="24"/>
                <w:szCs w:val="24"/>
                <w:lang w:bidi="ar"/>
              </w:rPr>
              <w:t>服刑人员全程通过刷脸认证/支 付，有效杜绝服刑人员之间互相 借用账户消费等违规情况。 对人员的人脸信息进行采集、经 判定有效后录入人脸库并绑定相 关系统用户;搭载 AI 算法模块， 可高效精准完成人脸核身认证。</w:t>
            </w:r>
          </w:p>
        </w:tc>
        <w:tc>
          <w:tcPr>
            <w:tcW w:w="843" w:type="pct"/>
            <w:vMerge w:val="continue"/>
          </w:tcPr>
          <w:p>
            <w:pPr>
              <w:widowControl/>
              <w:jc w:val="left"/>
              <w:textAlignment w:val="top"/>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tcPr>
          <w:p>
            <w:pPr>
              <w:spacing w:line="580" w:lineRule="exact"/>
              <w:rPr>
                <w:rFonts w:ascii="宋体" w:hAnsi="宋体" w:eastAsia="宋体" w:cs="宋体"/>
                <w:snapToGrid w:val="0"/>
                <w:kern w:val="0"/>
                <w:sz w:val="24"/>
                <w:szCs w:val="24"/>
              </w:rPr>
            </w:pPr>
          </w:p>
        </w:tc>
        <w:tc>
          <w:tcPr>
            <w:tcW w:w="827" w:type="pct"/>
            <w:vMerge w:val="continue"/>
          </w:tcPr>
          <w:p>
            <w:pPr>
              <w:spacing w:line="580" w:lineRule="exact"/>
              <w:rPr>
                <w:rFonts w:ascii="宋体" w:hAnsi="宋体" w:eastAsia="宋体" w:cs="宋体"/>
                <w:snapToGrid w:val="0"/>
                <w:kern w:val="0"/>
                <w:sz w:val="24"/>
                <w:szCs w:val="24"/>
              </w:rPr>
            </w:pPr>
          </w:p>
        </w:tc>
        <w:tc>
          <w:tcPr>
            <w:tcW w:w="748" w:type="pct"/>
            <w:vAlign w:val="center"/>
          </w:tcPr>
          <w:p>
            <w:pPr>
              <w:widowControl/>
              <w:jc w:val="center"/>
              <w:textAlignment w:val="center"/>
              <w:rPr>
                <w:rFonts w:ascii="宋体" w:hAnsi="宋体" w:eastAsia="宋体" w:cs="宋体"/>
                <w:snapToGrid w:val="0"/>
                <w:kern w:val="0"/>
                <w:sz w:val="24"/>
                <w:szCs w:val="24"/>
              </w:rPr>
            </w:pPr>
            <w:r>
              <w:rPr>
                <w:rFonts w:hint="eastAsia" w:ascii="宋体" w:hAnsi="宋体" w:eastAsia="宋体" w:cs="宋体"/>
                <w:color w:val="000000"/>
                <w:kern w:val="0"/>
                <w:sz w:val="24"/>
                <w:szCs w:val="24"/>
                <w:lang w:bidi="ar"/>
              </w:rPr>
              <w:t>服刑人员商城购物消费子系统</w:t>
            </w:r>
          </w:p>
        </w:tc>
        <w:tc>
          <w:tcPr>
            <w:tcW w:w="2095" w:type="pct"/>
          </w:tcPr>
          <w:p>
            <w:pPr>
              <w:widowControl/>
              <w:jc w:val="left"/>
              <w:textAlignment w:val="top"/>
              <w:rPr>
                <w:rFonts w:ascii="彩虹粗仿宋" w:hAnsi="宋体" w:eastAsia="彩虹粗仿宋" w:cs="Times New Roman"/>
                <w:snapToGrid w:val="0"/>
                <w:kern w:val="0"/>
                <w:sz w:val="32"/>
                <w:szCs w:val="32"/>
              </w:rPr>
            </w:pPr>
            <w:r>
              <w:rPr>
                <w:rFonts w:ascii="宋体" w:hAnsi="宋体" w:eastAsia="宋体" w:cs="宋体"/>
                <w:color w:val="000000"/>
                <w:kern w:val="0"/>
                <w:sz w:val="24"/>
                <w:szCs w:val="24"/>
                <w:lang w:bidi="ar"/>
              </w:rPr>
              <w:t>服刑人员刷脸认证登录，点触选 购商品、加入购物车并刷脸支付 结算，打印小票，同时支持查询 消费、余额情况。支持商超、教 育图书、医药在内的多品类商品 消费，同时根据不同的供应商提 供独立商城维护后台，进行商品 管理、订单管理、交易统计查询 等操作。</w:t>
            </w:r>
          </w:p>
        </w:tc>
        <w:tc>
          <w:tcPr>
            <w:tcW w:w="843" w:type="pct"/>
            <w:vMerge w:val="continue"/>
          </w:tcPr>
          <w:p>
            <w:pPr>
              <w:widowControl/>
              <w:jc w:val="left"/>
              <w:textAlignment w:val="top"/>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tcPr>
          <w:p>
            <w:pPr>
              <w:spacing w:line="580" w:lineRule="exact"/>
              <w:rPr>
                <w:rFonts w:ascii="宋体" w:hAnsi="宋体" w:eastAsia="宋体" w:cs="宋体"/>
                <w:snapToGrid w:val="0"/>
                <w:kern w:val="0"/>
                <w:sz w:val="24"/>
                <w:szCs w:val="24"/>
              </w:rPr>
            </w:pPr>
          </w:p>
        </w:tc>
        <w:tc>
          <w:tcPr>
            <w:tcW w:w="827" w:type="pct"/>
            <w:vMerge w:val="continue"/>
          </w:tcPr>
          <w:p>
            <w:pPr>
              <w:spacing w:line="580" w:lineRule="exact"/>
              <w:rPr>
                <w:rFonts w:ascii="宋体" w:hAnsi="宋体" w:eastAsia="宋体" w:cs="宋体"/>
                <w:snapToGrid w:val="0"/>
                <w:kern w:val="0"/>
                <w:sz w:val="24"/>
                <w:szCs w:val="24"/>
              </w:rPr>
            </w:pPr>
          </w:p>
        </w:tc>
        <w:tc>
          <w:tcPr>
            <w:tcW w:w="748" w:type="pct"/>
            <w:vAlign w:val="center"/>
          </w:tcPr>
          <w:p>
            <w:pPr>
              <w:widowControl/>
              <w:jc w:val="center"/>
              <w:textAlignment w:val="center"/>
              <w:rPr>
                <w:rFonts w:ascii="宋体" w:hAnsi="宋体" w:eastAsia="宋体" w:cs="宋体"/>
                <w:snapToGrid w:val="0"/>
                <w:kern w:val="0"/>
                <w:sz w:val="24"/>
                <w:szCs w:val="24"/>
              </w:rPr>
            </w:pPr>
            <w:r>
              <w:rPr>
                <w:rFonts w:hint="eastAsia" w:ascii="宋体" w:hAnsi="宋体" w:eastAsia="宋体" w:cs="宋体"/>
                <w:color w:val="000000"/>
                <w:kern w:val="0"/>
                <w:sz w:val="24"/>
                <w:szCs w:val="24"/>
                <w:lang w:bidi="ar"/>
              </w:rPr>
              <w:t>服刑人员账户自助查询子系统</w:t>
            </w:r>
          </w:p>
        </w:tc>
        <w:tc>
          <w:tcPr>
            <w:tcW w:w="2095" w:type="pct"/>
          </w:tcPr>
          <w:p>
            <w:pPr>
              <w:widowControl/>
              <w:jc w:val="left"/>
              <w:textAlignment w:val="top"/>
              <w:rPr>
                <w:rFonts w:ascii="彩虹粗仿宋" w:hAnsi="宋体" w:eastAsia="彩虹粗仿宋" w:cs="Times New Roman"/>
                <w:snapToGrid w:val="0"/>
                <w:kern w:val="0"/>
                <w:sz w:val="32"/>
                <w:szCs w:val="32"/>
              </w:rPr>
            </w:pPr>
            <w:r>
              <w:rPr>
                <w:rFonts w:ascii="宋体" w:hAnsi="宋体" w:eastAsia="宋体" w:cs="宋体"/>
                <w:color w:val="000000"/>
                <w:kern w:val="0"/>
                <w:sz w:val="24"/>
                <w:szCs w:val="24"/>
                <w:lang w:bidi="ar"/>
              </w:rPr>
              <w:t>服刑人员可以自助查询本人账户余额、商城订单、交易流水等许可查询的信息。</w:t>
            </w:r>
          </w:p>
        </w:tc>
        <w:tc>
          <w:tcPr>
            <w:tcW w:w="843" w:type="pct"/>
            <w:vMerge w:val="continue"/>
          </w:tcPr>
          <w:p>
            <w:pPr>
              <w:widowControl/>
              <w:jc w:val="left"/>
              <w:textAlignment w:val="top"/>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tcPr>
          <w:p>
            <w:pPr>
              <w:spacing w:line="580" w:lineRule="exact"/>
              <w:rPr>
                <w:rFonts w:ascii="宋体" w:hAnsi="宋体" w:eastAsia="宋体" w:cs="宋体"/>
                <w:snapToGrid w:val="0"/>
                <w:kern w:val="0"/>
                <w:sz w:val="24"/>
                <w:szCs w:val="24"/>
              </w:rPr>
            </w:pPr>
          </w:p>
        </w:tc>
        <w:tc>
          <w:tcPr>
            <w:tcW w:w="827" w:type="pct"/>
            <w:vMerge w:val="continue"/>
          </w:tcPr>
          <w:p>
            <w:pPr>
              <w:spacing w:line="580" w:lineRule="exact"/>
              <w:rPr>
                <w:rFonts w:ascii="宋体" w:hAnsi="宋体" w:eastAsia="宋体" w:cs="宋体"/>
                <w:snapToGrid w:val="0"/>
                <w:kern w:val="0"/>
                <w:sz w:val="24"/>
                <w:szCs w:val="24"/>
              </w:rPr>
            </w:pPr>
          </w:p>
        </w:tc>
        <w:tc>
          <w:tcPr>
            <w:tcW w:w="748" w:type="pct"/>
            <w:vAlign w:val="center"/>
          </w:tcPr>
          <w:p>
            <w:pPr>
              <w:widowControl/>
              <w:jc w:val="center"/>
              <w:textAlignment w:val="center"/>
              <w:rPr>
                <w:rFonts w:ascii="宋体" w:hAnsi="宋体" w:eastAsia="宋体" w:cs="宋体"/>
                <w:snapToGrid w:val="0"/>
                <w:kern w:val="0"/>
                <w:sz w:val="24"/>
                <w:szCs w:val="24"/>
              </w:rPr>
            </w:pPr>
            <w:r>
              <w:rPr>
                <w:rFonts w:hint="eastAsia" w:ascii="宋体" w:hAnsi="宋体" w:eastAsia="宋体" w:cs="宋体"/>
                <w:color w:val="000000"/>
                <w:kern w:val="0"/>
                <w:sz w:val="24"/>
                <w:szCs w:val="24"/>
                <w:lang w:bidi="ar"/>
              </w:rPr>
              <w:t>自主离监ATM结算子系统</w:t>
            </w:r>
          </w:p>
        </w:tc>
        <w:tc>
          <w:tcPr>
            <w:tcW w:w="2095" w:type="pct"/>
          </w:tcPr>
          <w:p>
            <w:pPr>
              <w:widowControl/>
              <w:jc w:val="left"/>
              <w:textAlignment w:val="top"/>
              <w:rPr>
                <w:rFonts w:ascii="彩虹粗仿宋" w:hAnsi="宋体" w:eastAsia="彩虹粗仿宋" w:cs="Times New Roman"/>
                <w:snapToGrid w:val="0"/>
                <w:kern w:val="0"/>
                <w:sz w:val="32"/>
                <w:szCs w:val="32"/>
              </w:rPr>
            </w:pPr>
            <w:r>
              <w:rPr>
                <w:rFonts w:ascii="宋体" w:hAnsi="宋体" w:eastAsia="宋体" w:cs="宋体"/>
                <w:color w:val="000000"/>
                <w:kern w:val="0"/>
                <w:sz w:val="24"/>
                <w:szCs w:val="24"/>
                <w:lang w:bidi="ar"/>
              </w:rPr>
              <w:t>服刑人员办理网离监结算后，出狱后可在特定ATM上进行结算和取现。</w:t>
            </w:r>
          </w:p>
        </w:tc>
        <w:tc>
          <w:tcPr>
            <w:tcW w:w="843" w:type="pct"/>
            <w:vMerge w:val="continue"/>
          </w:tcPr>
          <w:p>
            <w:pPr>
              <w:widowControl/>
              <w:jc w:val="left"/>
              <w:textAlignment w:val="top"/>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85" w:type="pct"/>
            <w:vAlign w:val="center"/>
          </w:tcPr>
          <w:p>
            <w:pPr>
              <w:spacing w:line="580" w:lineRule="exact"/>
              <w:jc w:val="center"/>
              <w:rPr>
                <w:rFonts w:ascii="宋体" w:hAnsi="宋体" w:eastAsia="宋体" w:cs="宋体"/>
                <w:snapToGrid w:val="0"/>
                <w:kern w:val="0"/>
                <w:sz w:val="24"/>
                <w:szCs w:val="24"/>
              </w:rPr>
            </w:pPr>
            <w:r>
              <w:rPr>
                <w:rFonts w:hint="eastAsia" w:ascii="宋体" w:hAnsi="宋体" w:eastAsia="宋体" w:cs="宋体"/>
                <w:snapToGrid w:val="0"/>
                <w:kern w:val="0"/>
                <w:sz w:val="24"/>
                <w:szCs w:val="24"/>
              </w:rPr>
              <w:t>2</w:t>
            </w:r>
          </w:p>
        </w:tc>
        <w:tc>
          <w:tcPr>
            <w:tcW w:w="827" w:type="pct"/>
            <w:vAlign w:val="center"/>
          </w:tcPr>
          <w:p>
            <w:pPr>
              <w:spacing w:line="580" w:lineRule="exact"/>
              <w:jc w:val="center"/>
              <w:rPr>
                <w:rFonts w:ascii="宋体" w:hAnsi="宋体" w:eastAsia="宋体" w:cs="宋体"/>
                <w:snapToGrid w:val="0"/>
                <w:kern w:val="0"/>
                <w:sz w:val="24"/>
                <w:szCs w:val="24"/>
              </w:rPr>
            </w:pPr>
            <w:r>
              <w:rPr>
                <w:rFonts w:hint="eastAsia" w:ascii="宋体" w:hAnsi="宋体" w:eastAsia="宋体" w:cs="宋体"/>
                <w:snapToGrid w:val="0"/>
                <w:kern w:val="0"/>
                <w:sz w:val="24"/>
                <w:szCs w:val="24"/>
              </w:rPr>
              <w:t>源代码</w:t>
            </w:r>
          </w:p>
        </w:tc>
        <w:tc>
          <w:tcPr>
            <w:tcW w:w="748" w:type="pct"/>
            <w:vAlign w:val="center"/>
          </w:tcPr>
          <w:p>
            <w:pPr>
              <w:jc w:val="left"/>
              <w:rPr>
                <w:rFonts w:ascii="彩虹粗仿宋" w:hAnsi="宋体" w:eastAsia="彩虹粗仿宋" w:cs="Times New Roman"/>
                <w:snapToGrid w:val="0"/>
                <w:kern w:val="0"/>
                <w:sz w:val="32"/>
                <w:szCs w:val="32"/>
              </w:rPr>
            </w:pPr>
          </w:p>
        </w:tc>
        <w:tc>
          <w:tcPr>
            <w:tcW w:w="2095" w:type="pct"/>
            <w:vAlign w:val="center"/>
          </w:tcPr>
          <w:p>
            <w:pPr>
              <w:widowControl/>
              <w:jc w:val="left"/>
              <w:textAlignment w:val="top"/>
              <w:rPr>
                <w:rFonts w:ascii="彩虹粗仿宋" w:hAnsi="宋体" w:eastAsia="彩虹粗仿宋" w:cs="Times New Roman"/>
                <w:snapToGrid w:val="0"/>
                <w:kern w:val="0"/>
                <w:sz w:val="32"/>
                <w:szCs w:val="32"/>
              </w:rPr>
            </w:pPr>
            <w:r>
              <w:rPr>
                <w:rFonts w:ascii="宋体" w:hAnsi="宋体" w:eastAsia="宋体" w:cs="宋体"/>
                <w:color w:val="000000"/>
                <w:kern w:val="0"/>
                <w:sz w:val="24"/>
                <w:szCs w:val="24"/>
                <w:lang w:bidi="ar"/>
              </w:rPr>
              <w:t>源代码部署建行</w:t>
            </w:r>
          </w:p>
        </w:tc>
        <w:tc>
          <w:tcPr>
            <w:tcW w:w="843" w:type="pct"/>
            <w:vAlign w:val="center"/>
          </w:tcPr>
          <w:p>
            <w:pPr>
              <w:widowControl/>
              <w:jc w:val="center"/>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1套</w:t>
            </w:r>
          </w:p>
        </w:tc>
      </w:tr>
    </w:tbl>
    <w:p>
      <w:pPr>
        <w:numPr>
          <w:ilvl w:val="0"/>
          <w:numId w:val="1"/>
        </w:numPr>
        <w:spacing w:line="580" w:lineRule="exact"/>
        <w:ind w:firstLine="640"/>
        <w:rPr>
          <w:rFonts w:ascii="彩虹粗仿宋" w:hAnsi="宋体" w:eastAsia="彩虹粗仿宋" w:cs="Times New Roman"/>
          <w:snapToGrid w:val="0"/>
          <w:kern w:val="0"/>
          <w:sz w:val="32"/>
          <w:szCs w:val="32"/>
          <w:highlight w:val="none"/>
        </w:rPr>
      </w:pPr>
      <w:r>
        <w:rPr>
          <w:rFonts w:hint="eastAsia" w:ascii="彩虹粗仿宋" w:eastAsia="彩虹粗仿宋" w:cs="宋体" w:hAnsiTheme="minorEastAsia"/>
          <w:kern w:val="0"/>
          <w:sz w:val="32"/>
          <w:szCs w:val="32"/>
          <w:lang w:val="en-US" w:eastAsia="zh-CN" w:bidi="ar-SA"/>
        </w:rPr>
        <w:t>配套硬件设备明细及规格要求：</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365"/>
        <w:gridCol w:w="483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spacing w:line="580" w:lineRule="exact"/>
              <w:jc w:val="center"/>
              <w:rPr>
                <w:rFonts w:ascii="宋体" w:hAnsi="宋体" w:eastAsia="宋体" w:cs="宋体"/>
                <w:b/>
                <w:bCs/>
                <w:snapToGrid w:val="0"/>
                <w:kern w:val="0"/>
                <w:sz w:val="28"/>
                <w:szCs w:val="28"/>
                <w:highlight w:val="none"/>
              </w:rPr>
            </w:pPr>
            <w:r>
              <w:rPr>
                <w:rFonts w:hint="eastAsia" w:ascii="宋体" w:hAnsi="宋体" w:eastAsia="宋体" w:cs="宋体"/>
                <w:b/>
                <w:bCs/>
                <w:snapToGrid w:val="0"/>
                <w:kern w:val="0"/>
                <w:sz w:val="28"/>
                <w:szCs w:val="28"/>
                <w:highlight w:val="none"/>
              </w:rPr>
              <w:t>序号</w:t>
            </w:r>
          </w:p>
        </w:tc>
        <w:tc>
          <w:tcPr>
            <w:tcW w:w="1365" w:type="dxa"/>
          </w:tcPr>
          <w:p>
            <w:pPr>
              <w:spacing w:line="580" w:lineRule="exact"/>
              <w:jc w:val="center"/>
              <w:rPr>
                <w:rFonts w:ascii="宋体" w:hAnsi="宋体" w:eastAsia="宋体" w:cs="宋体"/>
                <w:b/>
                <w:bCs/>
                <w:snapToGrid w:val="0"/>
                <w:kern w:val="0"/>
                <w:sz w:val="28"/>
                <w:szCs w:val="28"/>
                <w:highlight w:val="none"/>
              </w:rPr>
            </w:pPr>
            <w:r>
              <w:rPr>
                <w:rFonts w:hint="eastAsia" w:ascii="宋体" w:hAnsi="宋体" w:eastAsia="宋体" w:cs="宋体"/>
                <w:b/>
                <w:bCs/>
                <w:snapToGrid w:val="0"/>
                <w:kern w:val="0"/>
                <w:sz w:val="28"/>
                <w:szCs w:val="28"/>
                <w:highlight w:val="none"/>
              </w:rPr>
              <w:t>设备名称</w:t>
            </w:r>
          </w:p>
        </w:tc>
        <w:tc>
          <w:tcPr>
            <w:tcW w:w="4832" w:type="dxa"/>
          </w:tcPr>
          <w:p>
            <w:pPr>
              <w:spacing w:line="580" w:lineRule="exact"/>
              <w:jc w:val="center"/>
              <w:rPr>
                <w:rFonts w:ascii="宋体" w:hAnsi="宋体" w:eastAsia="宋体" w:cs="宋体"/>
                <w:b/>
                <w:bCs/>
                <w:snapToGrid w:val="0"/>
                <w:kern w:val="0"/>
                <w:sz w:val="28"/>
                <w:szCs w:val="28"/>
                <w:highlight w:val="none"/>
              </w:rPr>
            </w:pPr>
            <w:r>
              <w:rPr>
                <w:rFonts w:hint="eastAsia" w:ascii="宋体" w:hAnsi="宋体" w:eastAsia="宋体" w:cs="宋体"/>
                <w:b/>
                <w:bCs/>
                <w:snapToGrid w:val="0"/>
                <w:kern w:val="0"/>
                <w:sz w:val="28"/>
                <w:szCs w:val="28"/>
                <w:highlight w:val="none"/>
              </w:rPr>
              <w:t>规格描述</w:t>
            </w:r>
          </w:p>
        </w:tc>
        <w:tc>
          <w:tcPr>
            <w:tcW w:w="1559" w:type="dxa"/>
          </w:tcPr>
          <w:p>
            <w:pPr>
              <w:spacing w:line="580" w:lineRule="exact"/>
              <w:jc w:val="center"/>
              <w:rPr>
                <w:rFonts w:ascii="宋体" w:hAnsi="宋体" w:eastAsia="宋体" w:cs="宋体"/>
                <w:b/>
                <w:bCs/>
                <w:snapToGrid w:val="0"/>
                <w:kern w:val="0"/>
                <w:sz w:val="28"/>
                <w:szCs w:val="28"/>
                <w:highlight w:val="none"/>
              </w:rPr>
            </w:pPr>
            <w:r>
              <w:rPr>
                <w:rFonts w:hint="eastAsia" w:ascii="宋体" w:hAnsi="宋体" w:eastAsia="宋体" w:cs="宋体"/>
                <w:b/>
                <w:bCs/>
                <w:snapToGrid w:val="0"/>
                <w:kern w:val="0"/>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580" w:lineRule="exact"/>
              <w:jc w:val="center"/>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1</w:t>
            </w:r>
          </w:p>
        </w:tc>
        <w:tc>
          <w:tcPr>
            <w:tcW w:w="1365" w:type="dxa"/>
            <w:vAlign w:val="center"/>
          </w:tcPr>
          <w:p>
            <w:pPr>
              <w:widowControl/>
              <w:jc w:val="center"/>
              <w:textAlignment w:val="center"/>
              <w:rPr>
                <w:rFonts w:ascii="宋体" w:hAnsi="宋体" w:eastAsia="宋体" w:cs="宋体"/>
                <w:snapToGrid w:val="0"/>
                <w:kern w:val="0"/>
                <w:sz w:val="24"/>
                <w:szCs w:val="24"/>
                <w:highlight w:val="none"/>
              </w:rPr>
            </w:pPr>
            <w:r>
              <w:rPr>
                <w:rFonts w:hint="eastAsia" w:ascii="宋体" w:hAnsi="宋体" w:eastAsia="宋体" w:cs="宋体"/>
                <w:color w:val="000000"/>
                <w:kern w:val="0"/>
                <w:sz w:val="24"/>
                <w:szCs w:val="24"/>
                <w:highlight w:val="none"/>
                <w:lang w:bidi="ar"/>
              </w:rPr>
              <w:t>协作平板</w:t>
            </w:r>
          </w:p>
        </w:tc>
        <w:tc>
          <w:tcPr>
            <w:tcW w:w="4832" w:type="dxa"/>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1、液晶屏显示尺寸65英寸，采用A+规屏，支持物理防蓝光，采用红外感应技术，20点触控，内置电子白板功能，25ms超低书写时延；</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2、支持全4K视频会议；适配主流云会议，1080P会议体验；分布式会议，小屏会议大屏开，支持通过license升级入驻式会议；</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3、Flash：64GB，RAM：12GB</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4、内置硬件编解码，支持welink、云会议，一键激活，PC、手机、大屏无缝协同，扫码入会；</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5、内置4K高清摄像头，2倍数字变焦，支持智能导播和AutoFrame，镜头隐私保护盖；</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6、内置≥6个非独立外扩展的麦克风，支持前向180°拾音，拾音距离≥12米。支持快速回声消除（AEC）、自动噪声抑制（ANS）、自动增益控制（AGC）、语音清脆化、语音增强、混响抑制和唇音同步。</w:t>
            </w:r>
          </w:p>
          <w:p>
            <w:pPr>
              <w:widowControl/>
              <w:jc w:val="left"/>
              <w:textAlignment w:val="center"/>
              <w:rPr>
                <w:rFonts w:ascii="宋体" w:hAnsi="宋体" w:eastAsia="宋体" w:cs="宋体"/>
                <w:snapToGrid w:val="0"/>
                <w:kern w:val="0"/>
                <w:sz w:val="24"/>
                <w:szCs w:val="24"/>
                <w:highlight w:val="none"/>
              </w:rPr>
            </w:pPr>
            <w:r>
              <w:rPr>
                <w:rFonts w:hint="eastAsia" w:ascii="宋体" w:hAnsi="宋体" w:eastAsia="宋体" w:cs="宋体"/>
                <w:color w:val="000000"/>
                <w:kern w:val="0"/>
                <w:sz w:val="24"/>
                <w:szCs w:val="24"/>
                <w:highlight w:val="none"/>
                <w:lang w:bidi="ar"/>
              </w:rPr>
              <w:t>7、支持平行视界功能：同一应用支持打开两个窗口，实现双页面显示；</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8、支持多窗功能：同时打开两个应用，减少应用切换；</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9、设备前置面板具有以下无转接接口：1*Type-C、2*USB Type-A。</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10、侧置具有以下无转接接口：1*HDMI IN、1*HDMI OUT、1*MIC IN、1路MIC OUT、2*RJ45、1*USB Type-A。</w:t>
            </w:r>
            <w:r>
              <w:rPr>
                <w:rFonts w:hint="eastAsia" w:ascii="宋体" w:hAnsi="宋体" w:eastAsia="宋体" w:cs="宋体"/>
                <w:color w:val="000000"/>
                <w:kern w:val="0"/>
                <w:sz w:val="24"/>
                <w:szCs w:val="24"/>
                <w:highlight w:val="none"/>
                <w:lang w:bidi="ar"/>
              </w:rPr>
              <w:br w:type="textWrapping"/>
            </w:r>
          </w:p>
        </w:tc>
        <w:tc>
          <w:tcPr>
            <w:tcW w:w="1559" w:type="dxa"/>
            <w:vAlign w:val="center"/>
          </w:tcPr>
          <w:p>
            <w:pPr>
              <w:spacing w:line="580" w:lineRule="exact"/>
              <w:jc w:val="center"/>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12台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580" w:lineRule="exact"/>
              <w:jc w:val="center"/>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2</w:t>
            </w:r>
          </w:p>
        </w:tc>
        <w:tc>
          <w:tcPr>
            <w:tcW w:w="1365" w:type="dxa"/>
          </w:tcPr>
          <w:p>
            <w:pPr>
              <w:spacing w:line="580" w:lineRule="exac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自助取款机</w:t>
            </w:r>
          </w:p>
        </w:tc>
        <w:tc>
          <w:tcPr>
            <w:tcW w:w="4832" w:type="dxa"/>
          </w:tcPr>
          <w:p>
            <w:pPr>
              <w:spacing w:line="580" w:lineRule="exact"/>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支持取现到元，为罪犯离监提供取现金服务</w:t>
            </w:r>
          </w:p>
        </w:tc>
        <w:tc>
          <w:tcPr>
            <w:tcW w:w="1559" w:type="dxa"/>
          </w:tcPr>
          <w:p>
            <w:pPr>
              <w:spacing w:line="580" w:lineRule="exact"/>
              <w:jc w:val="center"/>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1台</w:t>
            </w:r>
          </w:p>
        </w:tc>
      </w:tr>
      <w:bookmarkEnd w:id="0"/>
    </w:tbl>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（三）技术、质量要求</w:t>
      </w:r>
    </w:p>
    <w:p>
      <w:pPr>
        <w:adjustRightInd w:val="0"/>
        <w:snapToGrid w:val="0"/>
        <w:spacing w:line="560" w:lineRule="atLeast"/>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 xml:space="preserve">1.供应商提供的产品质量标准按以下约定执行 </w:t>
      </w:r>
    </w:p>
    <w:p>
      <w:pPr>
        <w:adjustRightInd w:val="0"/>
        <w:snapToGrid w:val="0"/>
        <w:spacing w:line="560" w:lineRule="atLeast"/>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产品应为完整、全新、未使用过的产品，产品品质不低于原厂商同类同规格产品品质标准。产品内附质量说明或使用说明的，入选供应商同时保证产品质量与内附说明一致，保证产品能按照产品内附说明且能在双方约定的项目中正常运行或使用。</w:t>
      </w:r>
    </w:p>
    <w:p>
      <w:pPr>
        <w:adjustRightInd w:val="0"/>
        <w:snapToGrid w:val="0"/>
        <w:spacing w:line="560" w:lineRule="atLeast"/>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2.供应商提供的软件产品质量标准按以下约定执行</w:t>
      </w:r>
    </w:p>
    <w:p>
      <w:pPr>
        <w:adjustRightInd w:val="0"/>
        <w:snapToGrid w:val="0"/>
        <w:spacing w:line="560" w:lineRule="atLeast"/>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供应商保证软件产品不包含任何明显的或主要的缺陷、错误，不包含任何恶意的、破坏性的或可能导致未经授权者侵入、操作、控制计算机或计算机数据的计算机病毒、木马程序、后门程序等程序设计或程序代码。</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（四）生产、供货要求</w:t>
      </w:r>
    </w:p>
    <w:p>
      <w:pPr>
        <w:adjustRightInd w:val="0"/>
        <w:snapToGrid w:val="0"/>
        <w:spacing w:line="560" w:lineRule="atLeast"/>
        <w:ind w:firstLine="640" w:firstLineChars="200"/>
        <w:rPr>
          <w:rFonts w:hint="eastAsia" w:ascii="彩虹粗仿宋" w:eastAsia="彩虹粗仿宋" w:cs="宋体" w:hAnsiTheme="minorEastAsia"/>
          <w:kern w:val="0"/>
          <w:sz w:val="32"/>
          <w:szCs w:val="32"/>
          <w:lang w:val="en-US" w:eastAsia="zh-CN" w:bidi="ar-SA"/>
        </w:rPr>
      </w:pPr>
      <w:bookmarkStart w:id="1" w:name="_Hlk117611481"/>
      <w:r>
        <w:rPr>
          <w:rFonts w:hint="eastAsia" w:ascii="彩虹粗仿宋" w:eastAsia="彩虹粗仿宋" w:cs="宋体" w:hAnsiTheme="minorEastAsia"/>
          <w:kern w:val="0"/>
          <w:sz w:val="32"/>
          <w:szCs w:val="32"/>
          <w:lang w:val="en-US" w:eastAsia="zh-CN" w:bidi="ar-SA"/>
        </w:rPr>
        <w:t>供应商应于本合同签订之日起30个工作日内，及时向福建省翔安监狱提供“服刑人员数智金融管理一体化平台”所需的软件和硬件并完成安装调试。</w:t>
      </w:r>
    </w:p>
    <w:bookmarkEnd w:id="1"/>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（五）售后服务要求</w:t>
      </w:r>
    </w:p>
    <w:p>
      <w:pPr>
        <w:adjustRightInd w:val="0"/>
        <w:snapToGrid w:val="0"/>
        <w:spacing w:line="560" w:lineRule="atLeast"/>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采购的软件产品免费维保期为3年，硬件设备免费维保期为1年。</w:t>
      </w:r>
      <w:bookmarkStart w:id="2" w:name="_Hlk117599742"/>
      <w:r>
        <w:rPr>
          <w:rFonts w:hint="eastAsia" w:ascii="彩虹粗仿宋" w:eastAsia="彩虹粗仿宋" w:cs="宋体" w:hAnsiTheme="minorEastAsia"/>
          <w:kern w:val="0"/>
          <w:sz w:val="32"/>
          <w:szCs w:val="32"/>
          <w:lang w:val="en-US" w:eastAsia="zh-CN" w:bidi="ar-SA"/>
        </w:rPr>
        <w:t>售后服务要求有：</w:t>
      </w:r>
    </w:p>
    <w:p>
      <w:pPr>
        <w:adjustRightInd w:val="0"/>
        <w:snapToGrid w:val="0"/>
        <w:spacing w:line="560" w:lineRule="atLeast"/>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1.提供售后服务质量保障方案，建立完善的售后服务管理体系及拥有专业的维护队伍，保证项目正常运行的措施。</w:t>
      </w:r>
    </w:p>
    <w:p>
      <w:pPr>
        <w:adjustRightInd w:val="0"/>
        <w:snapToGrid w:val="0"/>
        <w:spacing w:line="560" w:lineRule="atLeast"/>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2.维护支持服务期内，提供7*24小时电话、网络等远程支持服务及上门维护支持服务。维护支持服务内容包括技术支持、日常巡检、故障排除、项目升级、项目功能后期细微优化或改进（按使用单位提供的功能需求在规定的时限内完成）、向使用单位所辖部门推广使用安装等。</w:t>
      </w:r>
    </w:p>
    <w:p>
      <w:pPr>
        <w:adjustRightInd w:val="0"/>
        <w:snapToGrid w:val="0"/>
        <w:spacing w:line="560" w:lineRule="atLeast"/>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3.免费提供系统相关配套技术资料，包括但不限于操作手册（中文版）等。</w:t>
      </w:r>
    </w:p>
    <w:bookmarkEnd w:id="2"/>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w:t>
      </w:r>
      <w:r>
        <w:rPr>
          <w:rFonts w:hint="eastAsia" w:ascii="彩虹粗仿宋" w:hAnsi="宋体" w:eastAsia="彩虹粗仿宋" w:cs="Times New Roman"/>
          <w:b/>
          <w:snapToGrid w:val="0"/>
          <w:kern w:val="0"/>
          <w:sz w:val="32"/>
          <w:szCs w:val="32"/>
          <w:lang w:val="en-US" w:eastAsia="zh-CN"/>
        </w:rPr>
        <w:t>六</w:t>
      </w:r>
      <w:r>
        <w:rPr>
          <w:rFonts w:hint="eastAsia" w:ascii="彩虹粗仿宋" w:hAnsi="宋体" w:eastAsia="彩虹粗仿宋" w:cs="Times New Roman"/>
          <w:b/>
          <w:snapToGrid w:val="0"/>
          <w:kern w:val="0"/>
          <w:sz w:val="32"/>
          <w:szCs w:val="32"/>
        </w:rPr>
        <w:t>）款项支付要求</w:t>
      </w:r>
    </w:p>
    <w:p>
      <w:pPr>
        <w:adjustRightInd w:val="0"/>
        <w:snapToGrid w:val="0"/>
        <w:spacing w:line="560" w:lineRule="atLeast"/>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1.硬件设备付款方式：自硬件设备到货验收合格并收到供应商开具的增值税专用发票后20个工作日内，向供应商支付货款总金额的95%；</w:t>
      </w:r>
      <w:r>
        <w:rPr>
          <w:rFonts w:hint="eastAsia" w:ascii="彩虹粗仿宋" w:eastAsia="彩虹粗仿宋" w:cs="宋体" w:hAnsiTheme="minorEastAsia"/>
          <w:kern w:val="0"/>
          <w:sz w:val="32"/>
          <w:szCs w:val="32"/>
          <w:lang w:val="en-US" w:eastAsia="zh-CN" w:bidi="ar-SA"/>
        </w:rPr>
        <w:br w:type="textWrapping"/>
      </w:r>
      <w:r>
        <w:rPr>
          <w:rFonts w:hint="eastAsia" w:ascii="彩虹粗仿宋" w:eastAsia="彩虹粗仿宋" w:cs="宋体" w:hAnsiTheme="minorEastAsia"/>
          <w:kern w:val="0"/>
          <w:sz w:val="32"/>
          <w:szCs w:val="32"/>
          <w:lang w:val="en-US" w:eastAsia="zh-CN" w:bidi="ar-SA"/>
        </w:rPr>
        <w:t xml:space="preserve">    2.软件产品项目付款方式：自软件系统上线验收合格并收到供应商开具的增值税专用发票后20个工作日内，向供应商支付货款总金额的95%；</w:t>
      </w:r>
    </w:p>
    <w:p>
      <w:pPr>
        <w:adjustRightInd w:val="0"/>
        <w:snapToGrid w:val="0"/>
        <w:spacing w:line="560" w:lineRule="atLeast"/>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3.免费维保期满后且双方无任何异议前提下的15个工作日内，向供应商支付货款总金额的5%，质保金不计息。</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w:t>
      </w:r>
      <w:r>
        <w:rPr>
          <w:rFonts w:hint="eastAsia" w:ascii="彩虹粗仿宋" w:hAnsi="宋体" w:eastAsia="彩虹粗仿宋" w:cs="Times New Roman"/>
          <w:b/>
          <w:snapToGrid w:val="0"/>
          <w:kern w:val="0"/>
          <w:sz w:val="32"/>
          <w:szCs w:val="32"/>
          <w:lang w:val="en-US" w:eastAsia="zh-CN"/>
        </w:rPr>
        <w:t>七</w:t>
      </w:r>
      <w:r>
        <w:rPr>
          <w:rFonts w:hint="eastAsia" w:ascii="彩虹粗仿宋" w:hAnsi="宋体" w:eastAsia="彩虹粗仿宋" w:cs="Times New Roman"/>
          <w:b/>
          <w:snapToGrid w:val="0"/>
          <w:kern w:val="0"/>
          <w:sz w:val="32"/>
          <w:szCs w:val="32"/>
        </w:rPr>
        <w:t>）其他要求</w:t>
      </w:r>
    </w:p>
    <w:p>
      <w:pPr>
        <w:adjustRightInd w:val="0"/>
        <w:snapToGrid w:val="0"/>
        <w:spacing w:line="560" w:lineRule="atLeast"/>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原则上入选公司应在我行开立结算帐户，用于商品、服务、工程等款项结</w:t>
      </w:r>
      <w:bookmarkStart w:id="3" w:name="_GoBack"/>
      <w:bookmarkEnd w:id="3"/>
      <w:r>
        <w:rPr>
          <w:rFonts w:hint="eastAsia" w:ascii="彩虹粗仿宋" w:eastAsia="彩虹粗仿宋" w:cs="宋体" w:hAnsiTheme="minorEastAsia"/>
          <w:kern w:val="0"/>
          <w:sz w:val="32"/>
          <w:szCs w:val="32"/>
          <w:lang w:val="en-US" w:eastAsia="zh-CN" w:bidi="ar-SA"/>
        </w:rPr>
        <w:t>算。</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1" w:lineRule="exact"/>
      <w:ind w:firstLine="6430"/>
    </w:pPr>
    <w:r>
      <mc:AlternateContent>
        <mc:Choice Requires="wps">
          <w:drawing>
            <wp:anchor distT="0" distB="0" distL="114300" distR="114300" simplePos="0" relativeHeight="251659264" behindDoc="0" locked="0" layoutInCell="0" allowOverlap="1">
              <wp:simplePos x="0" y="0"/>
              <wp:positionH relativeFrom="page">
                <wp:posOffset>892810</wp:posOffset>
              </wp:positionH>
              <wp:positionV relativeFrom="page">
                <wp:posOffset>810895</wp:posOffset>
              </wp:positionV>
              <wp:extent cx="5888990" cy="9525"/>
              <wp:effectExtent l="0" t="0" r="0" b="9525"/>
              <wp:wrapNone/>
              <wp:docPr id="160061051" name="Rectangle 3"/>
              <wp:cNvGraphicFramePr/>
              <a:graphic xmlns:a="http://schemas.openxmlformats.org/drawingml/2006/main">
                <a:graphicData uri="http://schemas.microsoft.com/office/word/2010/wordprocessingShape">
                  <wps:wsp>
                    <wps:cNvSpPr>
                      <a:spLocks noChangeArrowheads="1"/>
                    </wps:cNvSpPr>
                    <wps:spPr bwMode="auto">
                      <a:xfrm>
                        <a:off x="0" y="0"/>
                        <a:ext cx="5888990"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0.3pt;margin-top:63.85pt;height:0.75pt;width:463.7pt;mso-position-horizontal-relative:page;mso-position-vertical-relative:page;z-index:251659264;mso-width-relative:page;mso-height-relative:page;" fillcolor="#000000" filled="t" stroked="f" coordsize="21600,21600" o:allowincell="f" o:gfxdata="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y7uxtkAAAAMAQAADwAA&#10;AAAAAAABACAAAAAiAAAAZHJzL2Rvd25yZXYueG1sUEsBAhQAFAAAAAgAh07iQN1rADAVAgAALwQA&#10;AA4AAAAAAAAAAQAgAAAAKAEAAGRycy9lMm9Eb2MueG1sUEsFBgAAAAAGAAYAWQEAAK8FA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0E0CA"/>
    <w:multiLevelType w:val="singleLevel"/>
    <w:tmpl w:val="30D0E0CA"/>
    <w:lvl w:ilvl="0" w:tentative="0">
      <w:start w:val="2"/>
      <w:numFmt w:val="decimal"/>
      <w:suff w:val="nothing"/>
      <w:lvlText w:val="%1、"/>
      <w:lvlJc w:val="left"/>
      <w:pPr>
        <w:ind w:left="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ZTE3OWNhYmQ2ODQzOTE4NDUyYWM1M2JkZjk1ZDUifQ=="/>
  </w:docVars>
  <w:rsids>
    <w:rsidRoot w:val="00432147"/>
    <w:rsid w:val="00153E27"/>
    <w:rsid w:val="00164EF9"/>
    <w:rsid w:val="00382820"/>
    <w:rsid w:val="00432147"/>
    <w:rsid w:val="004B339D"/>
    <w:rsid w:val="0056494E"/>
    <w:rsid w:val="005C71FD"/>
    <w:rsid w:val="00721B36"/>
    <w:rsid w:val="00747DA6"/>
    <w:rsid w:val="007E7123"/>
    <w:rsid w:val="00AA2DA3"/>
    <w:rsid w:val="00AD6F70"/>
    <w:rsid w:val="00AF1C12"/>
    <w:rsid w:val="00C9704B"/>
    <w:rsid w:val="00CD2D4D"/>
    <w:rsid w:val="00CF3E2F"/>
    <w:rsid w:val="00F921E3"/>
    <w:rsid w:val="038F32F5"/>
    <w:rsid w:val="08EA11A5"/>
    <w:rsid w:val="0DAE6A7F"/>
    <w:rsid w:val="0E8F6E00"/>
    <w:rsid w:val="123A52FF"/>
    <w:rsid w:val="168A34C5"/>
    <w:rsid w:val="16D162FD"/>
    <w:rsid w:val="1D8E417D"/>
    <w:rsid w:val="291A7E84"/>
    <w:rsid w:val="29F66FE5"/>
    <w:rsid w:val="30D17BD8"/>
    <w:rsid w:val="31925762"/>
    <w:rsid w:val="336D632F"/>
    <w:rsid w:val="33CE791A"/>
    <w:rsid w:val="38F81807"/>
    <w:rsid w:val="3BF06B27"/>
    <w:rsid w:val="3DEE62BF"/>
    <w:rsid w:val="3F8D74BD"/>
    <w:rsid w:val="42515CDB"/>
    <w:rsid w:val="56174DAE"/>
    <w:rsid w:val="56BC1454"/>
    <w:rsid w:val="586C0428"/>
    <w:rsid w:val="5C0B355D"/>
    <w:rsid w:val="5DC3254D"/>
    <w:rsid w:val="6FC56DEE"/>
    <w:rsid w:val="72C34258"/>
    <w:rsid w:val="769F59BD"/>
    <w:rsid w:val="7A9B7D6B"/>
    <w:rsid w:val="7B20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7"/>
      <w:szCs w:val="27"/>
    </w:r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CCB</Company>
  <Pages>5</Pages>
  <Words>404</Words>
  <Characters>2309</Characters>
  <Lines>19</Lines>
  <Paragraphs>5</Paragraphs>
  <TotalTime>4</TotalTime>
  <ScaleCrop>false</ScaleCrop>
  <LinksUpToDate>false</LinksUpToDate>
  <CharactersWithSpaces>2708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2024-05-15T11:03:00Z</dcterms:created>
  <dc:creator>Apache POI</dc:creator>
  <cp:lastModifiedBy>Administrator</cp:lastModifiedBy>
  <dcterms:modified xsi:type="dcterms:W3CDTF">2024-05-17T07:42:22Z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FA7DE5DCB92E44C4A7A3D41685EEA17D_13</vt:lpwstr>
  </property>
</Properties>
</file>