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atLeast"/>
        <w:contextualSpacing/>
        <w:jc w:val="center"/>
        <w:rPr>
          <w:rFonts w:ascii="宋体" w:hAnsi="宋体" w:eastAsia="宋体" w:cs="Times New Roman"/>
          <w:b/>
          <w:bCs/>
          <w:snapToGrid w:val="0"/>
          <w:kern w:val="0"/>
          <w:sz w:val="44"/>
          <w:szCs w:val="44"/>
        </w:rPr>
      </w:pPr>
      <w:bookmarkStart w:id="0" w:name="PO_PURCHASE_REQUISITION_NAME"/>
      <w:r>
        <w:rPr>
          <w:rFonts w:hint="eastAsia" w:ascii="宋体" w:hAnsi="宋体" w:eastAsia="宋体" w:cs="Times New Roman"/>
          <w:b/>
          <w:bCs/>
          <w:snapToGrid w:val="0"/>
          <w:kern w:val="0"/>
          <w:sz w:val="44"/>
          <w:szCs w:val="44"/>
        </w:rPr>
        <w:t>中国建设银行厦门市分行数字人民币智慧食堂项目采购</w:t>
      </w:r>
      <w:bookmarkEnd w:id="0"/>
      <w:r>
        <w:rPr>
          <w:rFonts w:hint="eastAsia" w:ascii="宋体" w:hAnsi="宋体" w:eastAsia="宋体" w:cs="Times New Roman"/>
          <w:b/>
          <w:bCs/>
          <w:snapToGrid w:val="0"/>
          <w:kern w:val="0"/>
          <w:sz w:val="44"/>
          <w:szCs w:val="44"/>
        </w:rPr>
        <w:t>需求</w:t>
      </w:r>
    </w:p>
    <w:p>
      <w:pPr>
        <w:spacing w:line="580" w:lineRule="exact"/>
        <w:rPr>
          <w:rFonts w:ascii="彩虹黑体" w:hAnsi="宋体" w:eastAsia="彩虹黑体" w:cs="Times New Roman"/>
          <w:sz w:val="32"/>
          <w:szCs w:val="32"/>
        </w:rPr>
      </w:pPr>
    </w:p>
    <w:p>
      <w:pPr>
        <w:spacing w:line="580" w:lineRule="exact"/>
        <w:ind w:firstLine="640" w:firstLineChars="200"/>
        <w:rPr>
          <w:rFonts w:ascii="彩虹黑体" w:hAnsi="宋体" w:eastAsia="彩虹黑体" w:cs="Times New Roman"/>
          <w:sz w:val="32"/>
          <w:szCs w:val="32"/>
        </w:rPr>
      </w:pPr>
      <w:r>
        <w:rPr>
          <w:rFonts w:hint="eastAsia" w:ascii="彩虹黑体" w:hAnsi="宋体" w:eastAsia="彩虹黑体" w:cs="Times New Roman"/>
          <w:sz w:val="32"/>
          <w:szCs w:val="32"/>
        </w:rPr>
        <w:t>一、供应商要求</w:t>
      </w:r>
    </w:p>
    <w:p>
      <w:pPr>
        <w:ind w:firstLine="640" w:firstLineChars="200"/>
        <w:rPr>
          <w:rFonts w:hint="eastAsia" w:ascii="彩虹粗仿宋" w:eastAsia="彩虹粗仿宋" w:hAnsiTheme="minorEastAsia"/>
          <w:sz w:val="32"/>
          <w:szCs w:val="32"/>
        </w:rPr>
      </w:pPr>
      <w:bookmarkStart w:id="1" w:name="_GoBack"/>
      <w:r>
        <w:rPr>
          <w:rFonts w:hint="eastAsia" w:ascii="彩虹粗仿宋" w:eastAsia="彩虹粗仿宋" w:hAnsiTheme="minorEastAsia"/>
          <w:sz w:val="32"/>
          <w:szCs w:val="32"/>
        </w:rPr>
        <w:t>1、企业必须是在中华人民共和国境内注册的具有独立承担民事责任能力的法人，注册资本需在500万元人民币（或等值外币）及以上；</w:t>
      </w:r>
    </w:p>
    <w:p>
      <w:pPr>
        <w:ind w:firstLine="640" w:firstLineChars="200"/>
        <w:rPr>
          <w:rFonts w:hint="eastAsia" w:ascii="彩虹粗仿宋" w:eastAsia="彩虹粗仿宋" w:hAnsiTheme="minorEastAsia"/>
          <w:sz w:val="32"/>
          <w:szCs w:val="32"/>
        </w:rPr>
      </w:pPr>
      <w:r>
        <w:rPr>
          <w:rFonts w:hint="eastAsia" w:ascii="彩虹粗仿宋" w:eastAsia="彩虹粗仿宋" w:hAnsiTheme="minorEastAsia"/>
          <w:sz w:val="32"/>
          <w:szCs w:val="32"/>
        </w:rPr>
        <w:t>2、企业须有固定的营业场所；</w:t>
      </w:r>
    </w:p>
    <w:p>
      <w:pPr>
        <w:ind w:firstLine="640" w:firstLineChars="200"/>
        <w:rPr>
          <w:rFonts w:hint="eastAsia" w:ascii="彩虹粗仿宋" w:eastAsia="彩虹粗仿宋" w:hAnsiTheme="minorEastAsia"/>
          <w:sz w:val="32"/>
          <w:szCs w:val="32"/>
        </w:rPr>
      </w:pPr>
      <w:r>
        <w:rPr>
          <w:rFonts w:hint="eastAsia" w:ascii="彩虹粗仿宋" w:eastAsia="彩虹粗仿宋" w:hAnsiTheme="minorEastAsia"/>
          <w:sz w:val="32"/>
          <w:szCs w:val="32"/>
        </w:rPr>
        <w:t>3、具备省级高新技术企业资质，要求提供的硬件设备具备自主产品专利或软件系统具备软件著作权；</w:t>
      </w:r>
    </w:p>
    <w:p>
      <w:pPr>
        <w:ind w:firstLine="640" w:firstLineChars="200"/>
        <w:rPr>
          <w:rFonts w:hint="eastAsia" w:ascii="彩虹粗仿宋" w:eastAsia="彩虹粗仿宋" w:hAnsiTheme="minorEastAsia"/>
          <w:sz w:val="32"/>
          <w:szCs w:val="32"/>
        </w:rPr>
      </w:pPr>
      <w:r>
        <w:rPr>
          <w:rFonts w:hint="eastAsia" w:ascii="彩虹粗仿宋" w:eastAsia="彩虹粗仿宋" w:hAnsiTheme="minorEastAsia"/>
          <w:sz w:val="32"/>
          <w:szCs w:val="32"/>
        </w:rPr>
        <w:t>4、供应商必须与教育行业可信教育数字身份平台对接，并具有可信教育数字身份（教育卡）的教育行业主管部门授权的单位出具的产品对接测试报告；</w:t>
      </w:r>
    </w:p>
    <w:p>
      <w:pPr>
        <w:ind w:firstLine="640" w:firstLineChars="200"/>
        <w:rPr>
          <w:rFonts w:hint="eastAsia" w:ascii="彩虹粗仿宋" w:eastAsia="彩虹粗仿宋" w:hAnsiTheme="minorEastAsia"/>
          <w:sz w:val="32"/>
          <w:szCs w:val="32"/>
        </w:rPr>
      </w:pPr>
      <w:r>
        <w:rPr>
          <w:rFonts w:hint="eastAsia" w:ascii="彩虹粗仿宋" w:eastAsia="彩虹粗仿宋" w:hAnsiTheme="minorEastAsia"/>
          <w:sz w:val="32"/>
          <w:szCs w:val="32"/>
        </w:rPr>
        <w:t>5、企业需成立三年（含）以上，经营状况正常且近三年中至少有两年净利润为正数，在最近三年内的经营活动中没有行贿犯罪等重大违法记录、未被“信用中国”网列入 “重大税收违法案件当事人名单”、未被“中国执行信息公开网”列入“失信被执行人名单”、未被“中国政府采购网”列入“政府采购严重违法失信行为信息记录名单”、未被“国家企业信用信息公示系统”列入网站“严重违法失信企业名单”、在参加本次采购活动前3年内未出现重大违法违规行为，不在建总行供应商禁用/退出期内，在与银行客户的项目合作过程中，没有重大合同违约、泄露商业秘密或技术秘密等事件；</w:t>
      </w:r>
    </w:p>
    <w:p>
      <w:pPr>
        <w:ind w:firstLine="640" w:firstLineChars="200"/>
        <w:rPr>
          <w:rFonts w:hint="eastAsia" w:ascii="彩虹粗仿宋" w:eastAsia="彩虹粗仿宋" w:hAnsiTheme="minorEastAsia"/>
          <w:sz w:val="32"/>
          <w:szCs w:val="32"/>
        </w:rPr>
      </w:pPr>
      <w:r>
        <w:rPr>
          <w:rFonts w:hint="eastAsia" w:ascii="彩虹粗仿宋" w:eastAsia="彩虹粗仿宋" w:hAnsiTheme="minorEastAsia"/>
          <w:sz w:val="32"/>
          <w:szCs w:val="32"/>
        </w:rPr>
        <w:t>6、企业应在厦门市设置售后服务团队；</w:t>
      </w:r>
    </w:p>
    <w:p>
      <w:pPr>
        <w:ind w:firstLine="640" w:firstLineChars="200"/>
        <w:rPr>
          <w:rFonts w:hint="eastAsia" w:ascii="彩虹粗仿宋" w:eastAsia="彩虹粗仿宋" w:hAnsiTheme="minorEastAsia"/>
          <w:sz w:val="32"/>
          <w:szCs w:val="32"/>
        </w:rPr>
      </w:pPr>
      <w:r>
        <w:rPr>
          <w:rFonts w:hint="eastAsia" w:ascii="彩虹粗仿宋" w:eastAsia="彩虹粗仿宋" w:hAnsiTheme="minorEastAsia"/>
          <w:sz w:val="32"/>
          <w:szCs w:val="32"/>
        </w:rPr>
        <w:t>7、企业近3年须具有与银行业合作的同类项目案例，符合资格要求并具有与建行系统内开展同类合作</w:t>
      </w:r>
      <w:r>
        <w:rPr>
          <w:rFonts w:hint="eastAsia" w:ascii="彩虹粗仿宋" w:eastAsia="彩虹粗仿宋" w:hAnsiTheme="minorEastAsia"/>
          <w:sz w:val="32"/>
          <w:szCs w:val="32"/>
        </w:rPr>
        <w:t>案例的企业优先。</w:t>
      </w:r>
    </w:p>
    <w:bookmarkEnd w:id="1"/>
    <w:p>
      <w:pPr>
        <w:ind w:firstLine="640" w:firstLineChars="200"/>
        <w:rPr>
          <w:rFonts w:ascii="彩虹黑体" w:hAnsi="宋体" w:eastAsia="彩虹黑体" w:cs="Times New Roman"/>
          <w:sz w:val="32"/>
          <w:szCs w:val="32"/>
        </w:rPr>
      </w:pPr>
      <w:r>
        <w:rPr>
          <w:rFonts w:hint="eastAsia" w:ascii="彩虹黑体" w:hAnsi="宋体" w:eastAsia="彩虹黑体" w:cs="Times New Roman"/>
          <w:sz w:val="32"/>
          <w:szCs w:val="32"/>
        </w:rPr>
        <w:t>二、采购内容：</w:t>
      </w:r>
    </w:p>
    <w:p>
      <w:pPr>
        <w:spacing w:line="276" w:lineRule="auto"/>
        <w:ind w:firstLine="640" w:firstLineChars="200"/>
        <w:rPr>
          <w:rFonts w:ascii="彩虹粗仿宋" w:eastAsia="彩虹粗仿宋" w:hAnsiTheme="minorEastAsia"/>
          <w:sz w:val="32"/>
          <w:szCs w:val="32"/>
        </w:rPr>
      </w:pPr>
      <w:r>
        <w:rPr>
          <w:rFonts w:hint="eastAsia" w:ascii="彩虹粗仿宋" w:eastAsia="彩虹粗仿宋" w:hAnsiTheme="minorEastAsia"/>
          <w:sz w:val="32"/>
          <w:szCs w:val="32"/>
        </w:rPr>
        <w:t>1、提供数字人民币智慧食堂项目需要的硬件设备以及相应的安装服务；</w:t>
      </w:r>
    </w:p>
    <w:p>
      <w:pPr>
        <w:spacing w:line="580" w:lineRule="exact"/>
        <w:ind w:firstLine="640" w:firstLineChars="200"/>
        <w:rPr>
          <w:rFonts w:ascii="彩虹粗仿宋" w:hAnsi="宋体" w:eastAsia="彩虹粗仿宋" w:cs="仿宋"/>
          <w:color w:val="000000"/>
          <w:kern w:val="0"/>
          <w:sz w:val="32"/>
          <w:szCs w:val="32"/>
        </w:rPr>
      </w:pPr>
      <w:r>
        <w:rPr>
          <w:rFonts w:hint="eastAsia" w:ascii="彩虹粗仿宋" w:hAnsi="宋体" w:eastAsia="彩虹粗仿宋" w:cs="仿宋"/>
          <w:color w:val="000000"/>
          <w:kern w:val="0"/>
          <w:sz w:val="32"/>
          <w:szCs w:val="32"/>
        </w:rPr>
        <w:t>2、供应商所提供食堂消费机等设备，必须包含免费的食堂餐饮等基础软件系统，能够满足政府机关、企事业单位等市场场景使用。</w:t>
      </w:r>
    </w:p>
    <w:p>
      <w:pPr>
        <w:spacing w:line="580" w:lineRule="exact"/>
        <w:ind w:firstLine="640" w:firstLineChars="200"/>
        <w:rPr>
          <w:rFonts w:ascii="彩虹黑体" w:hAnsi="宋体" w:eastAsia="彩虹黑体" w:cs="Times New Roman"/>
          <w:sz w:val="32"/>
          <w:szCs w:val="32"/>
        </w:rPr>
      </w:pPr>
      <w:r>
        <w:rPr>
          <w:rFonts w:hint="eastAsia" w:ascii="彩虹黑体" w:hAnsi="宋体" w:eastAsia="彩虹黑体" w:cs="Times New Roman"/>
          <w:sz w:val="32"/>
          <w:szCs w:val="32"/>
        </w:rPr>
        <w:t>三、参数规格和质量需求</w:t>
      </w:r>
    </w:p>
    <w:p>
      <w:pPr>
        <w:spacing w:line="580" w:lineRule="exact"/>
        <w:ind w:firstLine="640" w:firstLineChars="200"/>
        <w:rPr>
          <w:rFonts w:ascii="彩虹粗仿宋" w:hAnsi="宋体" w:eastAsia="彩虹粗仿宋" w:cs="仿宋"/>
          <w:color w:val="000000"/>
          <w:kern w:val="0"/>
          <w:sz w:val="32"/>
          <w:szCs w:val="32"/>
        </w:rPr>
      </w:pPr>
      <w:r>
        <w:rPr>
          <w:rFonts w:hint="eastAsia" w:ascii="彩虹粗仿宋" w:hAnsi="宋体" w:eastAsia="彩虹粗仿宋" w:cs="仿宋"/>
          <w:color w:val="000000"/>
          <w:kern w:val="0"/>
          <w:sz w:val="32"/>
          <w:szCs w:val="32"/>
        </w:rPr>
        <w:t>主要为智慧食堂提供硬件、基础软件系统和服务支持，硬件</w:t>
      </w:r>
      <w:r>
        <w:rPr>
          <w:rFonts w:hint="eastAsia" w:ascii="彩虹粗仿宋" w:hAnsi="宋体" w:eastAsia="彩虹粗仿宋"/>
          <w:sz w:val="30"/>
          <w:szCs w:val="30"/>
        </w:rPr>
        <w:t>设备必须为经检验合格的、全新的、未曾使用过的设备。</w:t>
      </w:r>
      <w:r>
        <w:rPr>
          <w:rFonts w:hint="eastAsia" w:ascii="彩虹粗仿宋" w:hAnsi="宋体" w:eastAsia="彩虹粗仿宋" w:cs="仿宋"/>
          <w:color w:val="000000"/>
          <w:kern w:val="0"/>
          <w:sz w:val="32"/>
          <w:szCs w:val="32"/>
        </w:rPr>
        <w:t>具体所需软硬件产品见下表：</w:t>
      </w:r>
    </w:p>
    <w:p>
      <w:pPr>
        <w:spacing w:line="580" w:lineRule="exact"/>
        <w:ind w:firstLine="640" w:firstLineChars="200"/>
        <w:rPr>
          <w:rFonts w:ascii="彩虹粗仿宋" w:hAnsi="宋体" w:eastAsia="彩虹粗仿宋" w:cs="仿宋"/>
          <w:color w:val="000000"/>
          <w:kern w:val="0"/>
          <w:sz w:val="32"/>
          <w:szCs w:val="32"/>
        </w:rPr>
      </w:pPr>
    </w:p>
    <w:tbl>
      <w:tblPr>
        <w:tblStyle w:val="5"/>
        <w:tblW w:w="8379" w:type="dxa"/>
        <w:tblInd w:w="93" w:type="dxa"/>
        <w:tblLayout w:type="autofit"/>
        <w:tblCellMar>
          <w:top w:w="0" w:type="dxa"/>
          <w:left w:w="108" w:type="dxa"/>
          <w:bottom w:w="0" w:type="dxa"/>
          <w:right w:w="108" w:type="dxa"/>
        </w:tblCellMar>
      </w:tblPr>
      <w:tblGrid>
        <w:gridCol w:w="724"/>
        <w:gridCol w:w="1559"/>
        <w:gridCol w:w="6096"/>
      </w:tblGrid>
      <w:tr>
        <w:tblPrEx>
          <w:tblCellMar>
            <w:top w:w="0" w:type="dxa"/>
            <w:left w:w="108" w:type="dxa"/>
            <w:bottom w:w="0" w:type="dxa"/>
            <w:right w:w="108" w:type="dxa"/>
          </w:tblCellMar>
        </w:tblPrEx>
        <w:trPr>
          <w:trHeight w:val="426" w:hRule="atLeast"/>
        </w:trPr>
        <w:tc>
          <w:tcPr>
            <w:tcW w:w="72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彩虹粗仿宋" w:hAnsi="宋体" w:eastAsia="彩虹粗仿宋" w:cs="宋体"/>
                <w:b/>
                <w:bCs/>
                <w:color w:val="000000"/>
                <w:kern w:val="0"/>
                <w:sz w:val="22"/>
              </w:rPr>
            </w:pPr>
            <w:r>
              <w:rPr>
                <w:rFonts w:hint="eastAsia" w:ascii="彩虹粗仿宋" w:hAnsi="宋体" w:eastAsia="彩虹粗仿宋" w:cs="宋体"/>
                <w:b/>
                <w:bCs/>
                <w:color w:val="000000"/>
                <w:kern w:val="0"/>
                <w:sz w:val="22"/>
              </w:rPr>
              <w:t>序号</w:t>
            </w:r>
          </w:p>
        </w:tc>
        <w:tc>
          <w:tcPr>
            <w:tcW w:w="155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彩虹粗仿宋" w:hAnsi="宋体" w:eastAsia="彩虹粗仿宋" w:cs="宋体"/>
                <w:b/>
                <w:bCs/>
                <w:color w:val="000000"/>
                <w:kern w:val="0"/>
                <w:sz w:val="22"/>
              </w:rPr>
            </w:pPr>
            <w:r>
              <w:rPr>
                <w:rFonts w:hint="eastAsia" w:ascii="彩虹粗仿宋" w:hAnsi="宋体" w:eastAsia="彩虹粗仿宋" w:cs="宋体"/>
                <w:b/>
                <w:bCs/>
                <w:color w:val="000000"/>
                <w:kern w:val="0"/>
                <w:sz w:val="22"/>
              </w:rPr>
              <w:t>产品名称</w:t>
            </w:r>
          </w:p>
        </w:tc>
        <w:tc>
          <w:tcPr>
            <w:tcW w:w="609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彩虹粗仿宋" w:hAnsi="宋体" w:eastAsia="彩虹粗仿宋" w:cs="宋体"/>
                <w:b/>
                <w:bCs/>
                <w:color w:val="000000"/>
                <w:kern w:val="0"/>
                <w:sz w:val="22"/>
              </w:rPr>
            </w:pPr>
            <w:r>
              <w:rPr>
                <w:rFonts w:hint="eastAsia" w:ascii="彩虹粗仿宋" w:hAnsi="宋体" w:eastAsia="彩虹粗仿宋" w:cs="宋体"/>
                <w:b/>
                <w:bCs/>
                <w:color w:val="000000"/>
                <w:kern w:val="0"/>
                <w:sz w:val="22"/>
              </w:rPr>
              <w:t>技术要求</w:t>
            </w:r>
          </w:p>
        </w:tc>
      </w:tr>
      <w:tr>
        <w:tblPrEx>
          <w:tblCellMar>
            <w:top w:w="0" w:type="dxa"/>
            <w:left w:w="108" w:type="dxa"/>
            <w:bottom w:w="0" w:type="dxa"/>
            <w:right w:w="108" w:type="dxa"/>
          </w:tblCellMar>
        </w:tblPrEx>
        <w:trPr>
          <w:trHeight w:val="1323" w:hRule="atLeast"/>
        </w:trPr>
        <w:tc>
          <w:tcPr>
            <w:tcW w:w="72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1</w:t>
            </w:r>
          </w:p>
        </w:tc>
        <w:tc>
          <w:tcPr>
            <w:tcW w:w="1559" w:type="dxa"/>
            <w:tcBorders>
              <w:top w:val="nil"/>
              <w:left w:val="nil"/>
              <w:bottom w:val="single" w:color="auto" w:sz="8" w:space="0"/>
              <w:right w:val="single" w:color="auto" w:sz="8"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数字人民币</w:t>
            </w:r>
          </w:p>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食堂基础</w:t>
            </w:r>
          </w:p>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软件系统</w:t>
            </w:r>
          </w:p>
        </w:tc>
        <w:tc>
          <w:tcPr>
            <w:tcW w:w="6096" w:type="dxa"/>
            <w:tcBorders>
              <w:top w:val="nil"/>
              <w:left w:val="nil"/>
              <w:bottom w:val="single" w:color="auto" w:sz="8" w:space="0"/>
              <w:right w:val="single" w:color="auto" w:sz="8" w:space="0"/>
            </w:tcBorders>
            <w:shd w:val="clear" w:color="auto" w:fill="auto"/>
            <w:vAlign w:val="center"/>
          </w:tcPr>
          <w:p>
            <w:pPr>
              <w:widowControl/>
              <w:ind w:firstLine="440" w:firstLineChars="200"/>
              <w:jc w:val="left"/>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食堂餐饮等基础软件系统能够满足政府、学校、医院和企业等食堂场景使用。</w:t>
            </w:r>
          </w:p>
        </w:tc>
      </w:tr>
      <w:tr>
        <w:tblPrEx>
          <w:tblCellMar>
            <w:top w:w="0" w:type="dxa"/>
            <w:left w:w="108" w:type="dxa"/>
            <w:bottom w:w="0" w:type="dxa"/>
            <w:right w:w="108" w:type="dxa"/>
          </w:tblCellMar>
        </w:tblPrEx>
        <w:trPr>
          <w:trHeight w:val="6714" w:hRule="atLeast"/>
        </w:trPr>
        <w:tc>
          <w:tcPr>
            <w:tcW w:w="72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2</w:t>
            </w:r>
          </w:p>
        </w:tc>
        <w:tc>
          <w:tcPr>
            <w:tcW w:w="155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数字人民币</w:t>
            </w:r>
          </w:p>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刷脸支付设备</w:t>
            </w:r>
          </w:p>
        </w:tc>
        <w:tc>
          <w:tcPr>
            <w:tcW w:w="6096" w:type="dxa"/>
            <w:tcBorders>
              <w:top w:val="single" w:color="auto" w:sz="8" w:space="0"/>
              <w:left w:val="nil"/>
              <w:bottom w:val="single" w:color="auto" w:sz="8" w:space="0"/>
              <w:right w:val="single" w:color="auto" w:sz="8" w:space="0"/>
            </w:tcBorders>
            <w:shd w:val="clear" w:color="auto" w:fill="auto"/>
            <w:vAlign w:val="center"/>
          </w:tcPr>
          <w:p>
            <w:pPr>
              <w:widowControl/>
              <w:ind w:firstLine="440" w:firstLineChars="200"/>
              <w:jc w:val="left"/>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支持通过刷脸、刷消费卡、扫二维码等方式发起数字人民币协议支付。支持单次设置收款金额、固定收款金额、查询收款记录、线上退款等功能。设备形式可为挂壁式、柜台式、手持式等。设备支付功能、速度、易用性、安全性需满足我行及客户需求，且符合国家收银设备的相关标准。</w:t>
            </w:r>
          </w:p>
          <w:p>
            <w:pPr>
              <w:widowControl/>
              <w:ind w:firstLine="442" w:firstLineChars="200"/>
              <w:jc w:val="left"/>
              <w:rPr>
                <w:rFonts w:ascii="彩虹粗仿宋" w:hAnsi="宋体" w:eastAsia="彩虹粗仿宋" w:cs="宋体"/>
                <w:color w:val="000000"/>
                <w:kern w:val="0"/>
                <w:sz w:val="22"/>
              </w:rPr>
            </w:pPr>
            <w:r>
              <w:rPr>
                <w:rFonts w:hint="eastAsia" w:ascii="彩虹粗仿宋" w:hAnsi="宋体" w:eastAsia="彩虹粗仿宋" w:cs="宋体"/>
                <w:b/>
                <w:color w:val="000000"/>
                <w:kern w:val="0"/>
                <w:sz w:val="22"/>
              </w:rPr>
              <w:t>需要随设备提供能够满足基础功能需求的软件系统。</w:t>
            </w:r>
            <w:r>
              <w:rPr>
                <w:rFonts w:hint="eastAsia" w:ascii="彩虹粗仿宋" w:hAnsi="宋体" w:eastAsia="彩虹粗仿宋" w:cs="宋体"/>
                <w:color w:val="000000"/>
                <w:kern w:val="0"/>
                <w:sz w:val="22"/>
              </w:rPr>
              <w:t>包括数字人民币支付收款系统、定制交易报表导出/分析系统、数据云存储服务，以及具备接入上述定制系统的可扩展能力。</w:t>
            </w:r>
          </w:p>
          <w:p>
            <w:pPr>
              <w:widowControl/>
              <w:ind w:firstLine="442" w:firstLineChars="200"/>
              <w:jc w:val="left"/>
              <w:rPr>
                <w:rFonts w:ascii="彩虹粗仿宋" w:hAnsi="宋体" w:eastAsia="彩虹粗仿宋" w:cs="宋体"/>
                <w:b/>
                <w:color w:val="000000"/>
                <w:kern w:val="0"/>
                <w:sz w:val="22"/>
              </w:rPr>
            </w:pPr>
            <w:r>
              <w:rPr>
                <w:rFonts w:hint="eastAsia" w:ascii="彩虹粗仿宋" w:hAnsi="宋体" w:eastAsia="彩虹粗仿宋" w:cs="宋体"/>
                <w:b/>
                <w:color w:val="000000"/>
                <w:kern w:val="0"/>
                <w:sz w:val="22"/>
              </w:rPr>
              <w:t>需提供系统安装调试服务，施工费计入刷脸设备成本。</w:t>
            </w:r>
          </w:p>
          <w:p>
            <w:pPr>
              <w:widowControl/>
              <w:ind w:firstLine="440" w:firstLineChars="200"/>
              <w:jc w:val="left"/>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为保证用户使用体验，对刷脸支付设备参数做出要求：</w:t>
            </w:r>
          </w:p>
          <w:p>
            <w:pPr>
              <w:widowControl/>
              <w:ind w:firstLine="110" w:firstLineChars="50"/>
              <w:jc w:val="left"/>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1. 主屏参数：7英寸及以上，分辨率1024*600及以上</w:t>
            </w:r>
          </w:p>
          <w:p>
            <w:pPr>
              <w:widowControl/>
              <w:ind w:firstLine="110" w:firstLineChars="50"/>
              <w:jc w:val="left"/>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2. 背屏参数：尺寸4英寸及以上，带有实体数字键盘</w:t>
            </w:r>
          </w:p>
          <w:p>
            <w:pPr>
              <w:widowControl/>
              <w:ind w:firstLine="110" w:firstLineChars="50"/>
              <w:jc w:val="left"/>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3. 内存容量：2GB及以上，系统需运行流畅</w:t>
            </w:r>
          </w:p>
          <w:p>
            <w:pPr>
              <w:widowControl/>
              <w:ind w:firstLine="110" w:firstLineChars="50"/>
              <w:jc w:val="left"/>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4. 刷卡类型：包括但不限于IC卡、ID卡、CPU卡、NFC等</w:t>
            </w:r>
          </w:p>
          <w:p>
            <w:pPr>
              <w:widowControl/>
              <w:ind w:firstLine="110" w:firstLineChars="50"/>
              <w:jc w:val="left"/>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5. 网络通讯：支持网线、Wi-Fi、4G流量卡等联网方式</w:t>
            </w:r>
          </w:p>
          <w:p>
            <w:pPr>
              <w:widowControl/>
              <w:ind w:firstLine="110" w:firstLineChars="50"/>
              <w:jc w:val="left"/>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6. 扫码功能：条形码、二维码识别景深范围5-50mm及更宽，识别精度5mil及以上，识别速率50毫秒/次及更快</w:t>
            </w:r>
          </w:p>
          <w:p>
            <w:pPr>
              <w:widowControl/>
              <w:ind w:firstLine="110" w:firstLineChars="50"/>
              <w:jc w:val="left"/>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7. 软件系统：要求基于稳定的Windows/Linux平台；对第三方软件依赖程度不能过高；满足互联网应用发布的安全规范，不易攻破；要求满足7*24小时稳定运行</w:t>
            </w:r>
          </w:p>
        </w:tc>
      </w:tr>
      <w:tr>
        <w:tblPrEx>
          <w:tblCellMar>
            <w:top w:w="0" w:type="dxa"/>
            <w:left w:w="108" w:type="dxa"/>
            <w:bottom w:w="0" w:type="dxa"/>
            <w:right w:w="108" w:type="dxa"/>
          </w:tblCellMar>
        </w:tblPrEx>
        <w:trPr>
          <w:trHeight w:val="1329" w:hRule="atLeast"/>
        </w:trPr>
        <w:tc>
          <w:tcPr>
            <w:tcW w:w="72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3</w:t>
            </w:r>
          </w:p>
        </w:tc>
        <w:tc>
          <w:tcPr>
            <w:tcW w:w="1559" w:type="dxa"/>
            <w:tcBorders>
              <w:top w:val="nil"/>
              <w:left w:val="nil"/>
              <w:bottom w:val="single" w:color="auto" w:sz="8" w:space="0"/>
              <w:right w:val="single" w:color="auto" w:sz="8"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消费机读卡器</w:t>
            </w:r>
          </w:p>
        </w:tc>
        <w:tc>
          <w:tcPr>
            <w:tcW w:w="6096" w:type="dxa"/>
            <w:tcBorders>
              <w:top w:val="nil"/>
              <w:left w:val="nil"/>
              <w:bottom w:val="single" w:color="auto" w:sz="8" w:space="0"/>
              <w:right w:val="single" w:color="auto" w:sz="8" w:space="0"/>
            </w:tcBorders>
            <w:shd w:val="clear" w:color="auto" w:fill="auto"/>
            <w:vAlign w:val="center"/>
          </w:tcPr>
          <w:p>
            <w:pPr>
              <w:widowControl/>
              <w:ind w:firstLine="440" w:firstLineChars="200"/>
              <w:jc w:val="left"/>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根据客户需求进行消费卡的读取、写入、注销、挂失补发等操作。需配置USB数据线，兼容Windows、Linux等多操作系统，支持x86、龙芯、兆芯等计算机环境。</w:t>
            </w:r>
          </w:p>
        </w:tc>
      </w:tr>
      <w:tr>
        <w:tblPrEx>
          <w:tblCellMar>
            <w:top w:w="0" w:type="dxa"/>
            <w:left w:w="108" w:type="dxa"/>
            <w:bottom w:w="0" w:type="dxa"/>
            <w:right w:w="108" w:type="dxa"/>
          </w:tblCellMar>
        </w:tblPrEx>
        <w:trPr>
          <w:trHeight w:val="1006" w:hRule="atLeast"/>
        </w:trPr>
        <w:tc>
          <w:tcPr>
            <w:tcW w:w="72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4</w:t>
            </w:r>
          </w:p>
        </w:tc>
        <w:tc>
          <w:tcPr>
            <w:tcW w:w="1559" w:type="dxa"/>
            <w:tcBorders>
              <w:top w:val="nil"/>
              <w:left w:val="nil"/>
              <w:bottom w:val="single" w:color="auto" w:sz="8" w:space="0"/>
              <w:right w:val="single" w:color="auto" w:sz="8"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定制消费卡</w:t>
            </w:r>
          </w:p>
        </w:tc>
        <w:tc>
          <w:tcPr>
            <w:tcW w:w="6096" w:type="dxa"/>
            <w:tcBorders>
              <w:top w:val="nil"/>
              <w:left w:val="nil"/>
              <w:bottom w:val="single" w:color="auto" w:sz="8" w:space="0"/>
              <w:right w:val="single" w:color="auto" w:sz="8" w:space="0"/>
            </w:tcBorders>
            <w:shd w:val="clear" w:color="auto" w:fill="auto"/>
            <w:vAlign w:val="center"/>
          </w:tcPr>
          <w:p>
            <w:pPr>
              <w:widowControl/>
              <w:ind w:firstLine="440" w:firstLineChars="200"/>
              <w:jc w:val="left"/>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支持刷卡消费，交易联动食堂消费系统以及建行支付接口，可根据客户需求定制卡面样式。</w:t>
            </w:r>
          </w:p>
        </w:tc>
      </w:tr>
    </w:tbl>
    <w:p>
      <w:pPr>
        <w:adjustRightInd w:val="0"/>
        <w:snapToGrid w:val="0"/>
        <w:spacing w:line="580" w:lineRule="exact"/>
        <w:ind w:firstLine="640" w:firstLineChars="200"/>
        <w:rPr>
          <w:rFonts w:ascii="彩虹黑体" w:hAnsi="宋体" w:eastAsia="彩虹黑体" w:cs="Times New Roman"/>
          <w:sz w:val="32"/>
          <w:szCs w:val="32"/>
        </w:rPr>
      </w:pPr>
      <w:r>
        <w:rPr>
          <w:rFonts w:hint="eastAsia" w:ascii="彩虹黑体" w:hAnsi="宋体" w:eastAsia="彩虹黑体" w:cs="Times New Roman"/>
          <w:sz w:val="32"/>
          <w:szCs w:val="32"/>
        </w:rPr>
        <w:t>四、采购数量需求</w:t>
      </w:r>
    </w:p>
    <w:p>
      <w:pPr>
        <w:snapToGrid w:val="0"/>
        <w:spacing w:line="580" w:lineRule="exact"/>
        <w:ind w:right="9" w:firstLine="640" w:firstLineChars="200"/>
        <w:rPr>
          <w:rFonts w:ascii="彩虹粗仿宋" w:hAnsi="宋体" w:eastAsia="彩虹粗仿宋" w:cs="Times New Roman"/>
          <w:sz w:val="32"/>
          <w:szCs w:val="32"/>
        </w:rPr>
      </w:pPr>
      <w:r>
        <w:rPr>
          <w:rFonts w:hint="eastAsia" w:ascii="彩虹粗仿宋" w:eastAsia="彩虹粗仿宋"/>
          <w:sz w:val="32"/>
          <w:szCs w:val="32"/>
        </w:rPr>
        <w:t>设备采购</w:t>
      </w:r>
      <w:r>
        <w:rPr>
          <w:rFonts w:hint="eastAsia" w:ascii="彩虹粗仿宋" w:hAnsi="宋体" w:eastAsia="彩虹粗仿宋" w:cs="Times New Roman"/>
          <w:sz w:val="32"/>
          <w:szCs w:val="32"/>
        </w:rPr>
        <w:t>计划签订框架合同，我行根据实际情况按需下单采购。</w:t>
      </w:r>
    </w:p>
    <w:p>
      <w:pPr>
        <w:adjustRightInd w:val="0"/>
        <w:snapToGrid w:val="0"/>
        <w:spacing w:line="580" w:lineRule="exact"/>
        <w:ind w:firstLine="640" w:firstLineChars="200"/>
        <w:rPr>
          <w:rFonts w:ascii="彩虹黑体" w:hAnsi="宋体" w:eastAsia="彩虹黑体" w:cs="Times New Roman"/>
          <w:sz w:val="32"/>
          <w:szCs w:val="32"/>
        </w:rPr>
      </w:pPr>
      <w:r>
        <w:rPr>
          <w:rFonts w:hint="eastAsia" w:ascii="彩虹黑体" w:hAnsi="宋体" w:eastAsia="彩虹黑体" w:cs="Times New Roman"/>
          <w:sz w:val="32"/>
          <w:szCs w:val="32"/>
        </w:rPr>
        <w:t>五、供货及安装需求</w:t>
      </w:r>
    </w:p>
    <w:p>
      <w:pPr>
        <w:adjustRightInd w:val="0"/>
        <w:snapToGrid w:val="0"/>
        <w:spacing w:line="580" w:lineRule="exact"/>
        <w:ind w:firstLine="640" w:firstLineChars="200"/>
        <w:rPr>
          <w:rFonts w:ascii="彩虹粗仿宋" w:hAnsi="宋体" w:eastAsia="彩虹粗仿宋" w:cs="Times New Roman"/>
          <w:sz w:val="32"/>
          <w:szCs w:val="32"/>
        </w:rPr>
      </w:pPr>
      <w:r>
        <w:rPr>
          <w:rFonts w:hint="eastAsia" w:ascii="彩虹粗仿宋" w:hAnsi="宋体" w:eastAsia="彩虹粗仿宋" w:cs="Times New Roman"/>
          <w:sz w:val="32"/>
          <w:szCs w:val="32"/>
        </w:rPr>
        <w:t>1. 供应商负责采用物流运输方式将产品安全运至建行要求的指定交货地点；</w:t>
      </w:r>
    </w:p>
    <w:p>
      <w:pPr>
        <w:adjustRightInd w:val="0"/>
        <w:snapToGrid w:val="0"/>
        <w:spacing w:line="580" w:lineRule="exact"/>
        <w:ind w:firstLine="624"/>
        <w:rPr>
          <w:rFonts w:ascii="彩虹粗仿宋" w:hAnsi="宋体" w:eastAsia="彩虹粗仿宋" w:cs="Times New Roman"/>
          <w:sz w:val="32"/>
          <w:szCs w:val="32"/>
        </w:rPr>
      </w:pPr>
      <w:r>
        <w:rPr>
          <w:rFonts w:hint="eastAsia" w:ascii="彩虹粗仿宋" w:hAnsi="宋体" w:eastAsia="彩虹粗仿宋" w:cs="Times New Roman"/>
          <w:sz w:val="32"/>
          <w:szCs w:val="32"/>
        </w:rPr>
        <w:t>2.</w:t>
      </w:r>
      <w:r>
        <w:rPr>
          <w:rFonts w:hint="eastAsia"/>
        </w:rPr>
        <w:t xml:space="preserve"> </w:t>
      </w:r>
      <w:r>
        <w:rPr>
          <w:rFonts w:hint="eastAsia" w:ascii="彩虹粗仿宋" w:hAnsi="宋体" w:eastAsia="彩虹粗仿宋" w:cs="Times New Roman"/>
          <w:sz w:val="32"/>
          <w:szCs w:val="32"/>
        </w:rPr>
        <w:t>供应商交付产品应具有适于前款运输方式的坚固包装，供应商应根据产品的不同特性和要求采取防潮、防雨、防锈、防震、防磁等保护措施，以确保产品安全无损地到达交货地点；</w:t>
      </w:r>
    </w:p>
    <w:p>
      <w:pPr>
        <w:adjustRightInd w:val="0"/>
        <w:snapToGrid w:val="0"/>
        <w:spacing w:line="580" w:lineRule="exact"/>
        <w:ind w:firstLine="624"/>
        <w:rPr>
          <w:rFonts w:ascii="彩虹粗仿宋" w:hAnsi="宋体" w:eastAsia="彩虹粗仿宋" w:cs="Times New Roman"/>
          <w:sz w:val="32"/>
          <w:szCs w:val="32"/>
        </w:rPr>
      </w:pPr>
      <w:r>
        <w:rPr>
          <w:rFonts w:hint="eastAsia" w:ascii="彩虹粗仿宋" w:hAnsi="宋体" w:eastAsia="彩虹粗仿宋" w:cs="Times New Roman"/>
          <w:sz w:val="32"/>
          <w:szCs w:val="32"/>
        </w:rPr>
        <w:t>3. 运输、包装、装卸及运输保险费用由供应商负担，产品在按照项目约定所有权转移给建行前的全部风险由供应商承担；</w:t>
      </w:r>
    </w:p>
    <w:p>
      <w:pPr>
        <w:adjustRightInd w:val="0"/>
        <w:snapToGrid w:val="0"/>
        <w:spacing w:line="580" w:lineRule="exact"/>
        <w:ind w:firstLine="624"/>
        <w:rPr>
          <w:rFonts w:ascii="彩虹粗仿宋" w:hAnsi="宋体" w:eastAsia="彩虹粗仿宋" w:cs="Times New Roman"/>
          <w:sz w:val="32"/>
          <w:szCs w:val="32"/>
        </w:rPr>
      </w:pPr>
      <w:r>
        <w:rPr>
          <w:rFonts w:hint="eastAsia" w:ascii="彩虹粗仿宋" w:hAnsi="宋体" w:eastAsia="彩虹粗仿宋" w:cs="Times New Roman"/>
          <w:sz w:val="32"/>
          <w:szCs w:val="32"/>
        </w:rPr>
        <w:t>4. 交货时应当同时附有技术规格、使用说明、配套软件、质量合格证书等相关文件或技术资料，文件或技术资料应当清晰、准确和完整；</w:t>
      </w:r>
    </w:p>
    <w:p>
      <w:pPr>
        <w:adjustRightInd w:val="0"/>
        <w:snapToGrid w:val="0"/>
        <w:spacing w:line="580" w:lineRule="exact"/>
        <w:ind w:firstLine="640" w:firstLineChars="200"/>
        <w:rPr>
          <w:rFonts w:ascii="彩虹粗仿宋" w:hAnsi="宋体" w:eastAsia="彩虹粗仿宋" w:cs="Times New Roman"/>
          <w:sz w:val="32"/>
          <w:szCs w:val="32"/>
        </w:rPr>
      </w:pPr>
      <w:r>
        <w:rPr>
          <w:rFonts w:hint="eastAsia" w:ascii="彩虹粗仿宋" w:hAnsi="宋体" w:eastAsia="彩虹粗仿宋" w:cs="Times New Roman"/>
          <w:sz w:val="32"/>
          <w:szCs w:val="32"/>
        </w:rPr>
        <w:t>5. 特殊情况，供应商要求变更约定的交货地点、交货时间的，应当提前15个工作日通知建行并取得书面同意；</w:t>
      </w:r>
    </w:p>
    <w:p>
      <w:pPr>
        <w:adjustRightInd w:val="0"/>
        <w:snapToGrid w:val="0"/>
        <w:spacing w:line="580" w:lineRule="exact"/>
        <w:ind w:firstLine="640" w:firstLineChars="200"/>
        <w:rPr>
          <w:rFonts w:ascii="彩虹粗仿宋" w:hAnsi="宋体" w:eastAsia="彩虹粗仿宋" w:cs="Times New Roman"/>
          <w:sz w:val="32"/>
          <w:szCs w:val="32"/>
        </w:rPr>
      </w:pPr>
      <w:r>
        <w:rPr>
          <w:rFonts w:hint="eastAsia" w:ascii="彩虹粗仿宋" w:hAnsi="宋体" w:eastAsia="彩虹粗仿宋" w:cs="Times New Roman"/>
          <w:sz w:val="32"/>
          <w:szCs w:val="32"/>
        </w:rPr>
        <w:t>6. 要求变更交货地点、交货时间的，应提前通知供应商，供应商应当予以同意，由此增加的运输费用由双方协商解决；</w:t>
      </w:r>
    </w:p>
    <w:p>
      <w:pPr>
        <w:adjustRightInd w:val="0"/>
        <w:snapToGrid w:val="0"/>
        <w:spacing w:line="580" w:lineRule="exact"/>
        <w:ind w:firstLine="640" w:firstLineChars="200"/>
        <w:rPr>
          <w:rFonts w:ascii="彩虹粗仿宋" w:hAnsi="宋体" w:eastAsia="彩虹粗仿宋" w:cs="Times New Roman"/>
          <w:sz w:val="32"/>
          <w:szCs w:val="32"/>
        </w:rPr>
      </w:pPr>
      <w:r>
        <w:rPr>
          <w:rFonts w:hint="eastAsia" w:ascii="彩虹粗仿宋" w:hAnsi="宋体" w:eastAsia="彩虹粗仿宋" w:cs="Times New Roman"/>
          <w:sz w:val="32"/>
          <w:szCs w:val="32"/>
        </w:rPr>
        <w:t>7.</w:t>
      </w:r>
      <w:r>
        <w:rPr>
          <w:rFonts w:hint="eastAsia"/>
        </w:rPr>
        <w:t xml:space="preserve">  </w:t>
      </w:r>
      <w:r>
        <w:rPr>
          <w:rFonts w:hint="eastAsia" w:ascii="彩虹粗仿宋" w:hAnsi="宋体" w:eastAsia="彩虹粗仿宋" w:cs="Times New Roman"/>
          <w:sz w:val="32"/>
          <w:szCs w:val="32"/>
        </w:rPr>
        <w:t>供应商应当在产品运至约定交货地点前15日通知建行，以便建行做好接收准备。产品运至约定交货地点后15日内建行对产品进行接收。接收时建行有权对供应商所交产品的外包装完好程度、产品品牌、规格/型号、数量、产地或生产厂商等是否符合项目约定进行初验。供应商交付的产品存在损坏或短缺，或产品品牌、规格/型号、配置性能等不符合约定的，建行有权拒绝接收相应产品且供应商应按项目约定承担违约责任。对于被拒绝接收的产品，可暂时存放建行处，但产品毁损、灭失的风险由供应商承担。初验后应由建行根据初验结果签署到货证明；</w:t>
      </w:r>
    </w:p>
    <w:p>
      <w:pPr>
        <w:spacing w:line="580" w:lineRule="exact"/>
        <w:ind w:firstLine="640" w:firstLineChars="200"/>
        <w:rPr>
          <w:rFonts w:ascii="彩虹粗仿宋" w:hAnsi="宋体" w:eastAsia="彩虹粗仿宋" w:cs="Times New Roman"/>
          <w:sz w:val="32"/>
          <w:szCs w:val="32"/>
        </w:rPr>
      </w:pPr>
      <w:r>
        <w:rPr>
          <w:rFonts w:hint="eastAsia" w:ascii="彩虹粗仿宋" w:hAnsi="宋体" w:eastAsia="彩虹粗仿宋" w:cs="Times New Roman"/>
          <w:sz w:val="32"/>
          <w:szCs w:val="32"/>
        </w:rPr>
        <w:t>8. 若建行在开包使用过程中发现供应商交付的产品有错漏、数量短缺、损坏或与项目规定的技术要求和规格不符时，供应商应按建行要求及时到现场联合检查并确认有关问题。经确认问题的确存在的，供应商应当按照建行要求在15个工作日内更换或补足产品，并承担由此产生的全部费用；同时，供应商应当按照约定承担违约责任；</w:t>
      </w:r>
    </w:p>
    <w:p>
      <w:pPr>
        <w:spacing w:line="580" w:lineRule="exact"/>
        <w:ind w:firstLine="640" w:firstLineChars="200"/>
        <w:rPr>
          <w:rFonts w:ascii="彩虹粗仿宋" w:hAnsi="宋体" w:eastAsia="彩虹粗仿宋" w:cs="Times New Roman"/>
          <w:sz w:val="32"/>
          <w:szCs w:val="32"/>
        </w:rPr>
      </w:pPr>
      <w:r>
        <w:rPr>
          <w:rFonts w:hint="eastAsia" w:ascii="彩虹粗仿宋" w:hAnsi="宋体" w:eastAsia="彩虹粗仿宋" w:cs="Times New Roman"/>
          <w:sz w:val="32"/>
          <w:szCs w:val="32"/>
        </w:rPr>
        <w:t>9. 所有权自产品交由建行或建行指定人员占有并由建行签署到货证明之时起转移给建行；</w:t>
      </w:r>
    </w:p>
    <w:p>
      <w:pPr>
        <w:adjustRightInd w:val="0"/>
        <w:snapToGrid w:val="0"/>
        <w:spacing w:line="580" w:lineRule="exact"/>
        <w:ind w:firstLine="640" w:firstLineChars="200"/>
        <w:rPr>
          <w:rFonts w:ascii="彩虹粗仿宋" w:hAnsi="宋体" w:eastAsia="彩虹粗仿宋" w:cs="Times New Roman"/>
          <w:sz w:val="32"/>
          <w:szCs w:val="32"/>
        </w:rPr>
      </w:pPr>
      <w:r>
        <w:rPr>
          <w:rFonts w:hint="eastAsia" w:ascii="彩虹粗仿宋" w:hAnsi="宋体" w:eastAsia="彩虹粗仿宋" w:cs="Times New Roman"/>
          <w:sz w:val="32"/>
          <w:szCs w:val="32"/>
        </w:rPr>
        <w:t>10. 需提供加电测试服务，应遵守本条的约定。</w:t>
      </w:r>
    </w:p>
    <w:p>
      <w:pPr>
        <w:adjustRightInd w:val="0"/>
        <w:snapToGrid w:val="0"/>
        <w:spacing w:line="580" w:lineRule="exact"/>
        <w:ind w:firstLine="640" w:firstLineChars="200"/>
        <w:rPr>
          <w:rFonts w:ascii="彩虹粗仿宋" w:hAnsi="宋体" w:eastAsia="彩虹粗仿宋" w:cs="Times New Roman"/>
          <w:sz w:val="32"/>
          <w:szCs w:val="32"/>
        </w:rPr>
      </w:pPr>
      <w:r>
        <w:rPr>
          <w:rFonts w:hint="eastAsia" w:ascii="彩虹粗仿宋" w:hAnsi="宋体" w:eastAsia="彩虹粗仿宋" w:cs="Times New Roman"/>
          <w:sz w:val="32"/>
          <w:szCs w:val="32"/>
        </w:rPr>
        <w:t>对于经建行初验合格并签署到货证明的产品，供应商应当在15个工作日内做好必要的加电测试准备工作并向建行发出可以进行加电测试的书面通知。建行自收到供应商通知之日起15日内开始对产品进行加电测试。如供应商在约定期限内未及时发出可以进行加电测试的书面通知，建行也可自行决定开始进行加电测试的日期。建行对产品享有15个工作日的加电测试期；</w:t>
      </w:r>
    </w:p>
    <w:p>
      <w:pPr>
        <w:adjustRightInd w:val="0"/>
        <w:snapToGrid w:val="0"/>
        <w:spacing w:line="580" w:lineRule="exact"/>
        <w:ind w:firstLine="640" w:firstLineChars="200"/>
        <w:rPr>
          <w:rFonts w:ascii="彩虹粗仿宋" w:hAnsi="宋体" w:eastAsia="彩虹粗仿宋" w:cs="Times New Roman"/>
          <w:sz w:val="32"/>
          <w:szCs w:val="32"/>
        </w:rPr>
      </w:pPr>
      <w:r>
        <w:rPr>
          <w:rFonts w:hint="eastAsia" w:ascii="彩虹粗仿宋" w:hAnsi="宋体" w:eastAsia="彩虹粗仿宋" w:cs="Times New Roman"/>
          <w:sz w:val="32"/>
          <w:szCs w:val="32"/>
        </w:rPr>
        <w:t>11. 试期结束，产品符合项目约定的，建行签署加电测试验收合格证明。若加电测试期间发现产品不符合约定的，供应商应当在发现不符或建行指出的不符后，立即以全新的符合项目约定的产品进行替换或按照建行要求采取其他补救措施。加电测试期自供应商采取相应的补救措施后开始重新计算（简称“重新提交验收”）。若供应商重新提交验收而导致产品未在原定的加电测试期限或验收合格期限前验收合格的，供应商应承担逾期违约责任。除项目另有约定外，建行无需为安装调试服务支付任何费用；</w:t>
      </w:r>
    </w:p>
    <w:p>
      <w:pPr>
        <w:adjustRightInd w:val="0"/>
        <w:snapToGrid w:val="0"/>
        <w:spacing w:line="580" w:lineRule="exact"/>
        <w:ind w:firstLine="640" w:firstLineChars="200"/>
        <w:rPr>
          <w:rFonts w:ascii="彩虹粗仿宋" w:hAnsi="宋体" w:eastAsia="彩虹粗仿宋" w:cs="Times New Roman"/>
          <w:sz w:val="32"/>
          <w:szCs w:val="32"/>
        </w:rPr>
      </w:pPr>
      <w:r>
        <w:rPr>
          <w:rFonts w:hint="eastAsia" w:ascii="彩虹粗仿宋" w:hAnsi="宋体" w:eastAsia="彩虹粗仿宋" w:cs="Times New Roman"/>
          <w:sz w:val="32"/>
          <w:szCs w:val="32"/>
        </w:rPr>
        <w:t>12. 调试服务工作完成后（或双方书面另行约定其他时点），安装调试服务提供方应当在15日内做好验收的必要准备并向建行发出可以进行验收的书面通知。建行自收到安装调试服务提供方的通知之日起15日内开始对安装调试服务按照项目约定的验收标准进行验收，验收合格后建行签署验收合格证明。如验收不合格，安装调试服务提供方应当立即采取措施纠正不符之处，并与建行协商约定新的验收时间进行验收（简称“重新提交验收”）。若因安装调试服务提供方重新提交验收而未在原定的服务完成期限或验收合格期限前验收合格的，由供应商对安装调试服务提供方的违约行为承担逾期违约责任 。</w:t>
      </w:r>
    </w:p>
    <w:p>
      <w:pPr>
        <w:spacing w:line="580" w:lineRule="exact"/>
        <w:ind w:firstLine="640" w:firstLineChars="200"/>
        <w:rPr>
          <w:rFonts w:ascii="彩虹粗仿宋" w:hAnsi="宋体" w:eastAsia="彩虹粗仿宋" w:cs="Times New Roman"/>
          <w:sz w:val="32"/>
          <w:szCs w:val="32"/>
        </w:rPr>
      </w:pPr>
      <w:r>
        <w:rPr>
          <w:rFonts w:hint="eastAsia" w:ascii="彩虹黑体" w:hAnsi="宋体" w:eastAsia="彩虹黑体" w:cs="Times New Roman"/>
          <w:sz w:val="32"/>
          <w:szCs w:val="32"/>
        </w:rPr>
        <w:t>六、款项支付需求</w:t>
      </w:r>
    </w:p>
    <w:p>
      <w:pPr>
        <w:adjustRightInd w:val="0"/>
        <w:snapToGrid w:val="0"/>
        <w:spacing w:line="580" w:lineRule="exact"/>
        <w:ind w:left="40" w:leftChars="19" w:firstLine="640" w:firstLineChars="200"/>
        <w:rPr>
          <w:rFonts w:ascii="彩虹黑体" w:hAnsi="宋体" w:eastAsia="彩虹黑体" w:cs="Times New Roman"/>
          <w:sz w:val="32"/>
          <w:szCs w:val="32"/>
        </w:rPr>
      </w:pPr>
      <w:r>
        <w:rPr>
          <w:rFonts w:hint="eastAsia" w:ascii="彩虹粗仿宋" w:hAnsi="宋体" w:eastAsia="彩虹粗仿宋" w:cs="Times New Roman"/>
          <w:sz w:val="32"/>
          <w:szCs w:val="32"/>
        </w:rPr>
        <w:t>1. 项目价款和价外费用均为包含</w:t>
      </w:r>
      <w:r>
        <w:rPr>
          <w:rFonts w:ascii="彩虹粗仿宋" w:hAnsi="宋体" w:eastAsia="彩虹粗仿宋" w:cs="Times New Roman"/>
          <w:sz w:val="32"/>
          <w:szCs w:val="32"/>
        </w:rPr>
        <w:t>增值税</w:t>
      </w:r>
      <w:r>
        <w:rPr>
          <w:rFonts w:hint="eastAsia" w:ascii="彩虹粗仿宋" w:hAnsi="宋体" w:eastAsia="彩虹粗仿宋" w:cs="Times New Roman"/>
          <w:sz w:val="32"/>
          <w:szCs w:val="32"/>
        </w:rPr>
        <w:t>的含税价，项目价款已包含项目项下建行应支付的所有款项，建行无需再支出任何其他款项。依据我国法律法规及税收政策，本项目产品或服务所涉及的增值税税率发生调整，双方一致同意按照调整后的增值税税率相应调整项目价款；</w:t>
      </w:r>
    </w:p>
    <w:p>
      <w:pPr>
        <w:adjustRightInd w:val="0"/>
        <w:snapToGrid w:val="0"/>
        <w:spacing w:line="580" w:lineRule="exact"/>
        <w:ind w:firstLine="624"/>
        <w:rPr>
          <w:rFonts w:ascii="彩虹粗仿宋" w:hAnsi="宋体" w:eastAsia="彩虹粗仿宋" w:cs="Times New Roman"/>
          <w:sz w:val="32"/>
          <w:szCs w:val="32"/>
        </w:rPr>
      </w:pPr>
      <w:r>
        <w:rPr>
          <w:rFonts w:hint="eastAsia" w:ascii="彩虹粗仿宋" w:hAnsi="宋体" w:eastAsia="彩虹粗仿宋" w:cs="Times New Roman"/>
          <w:sz w:val="32"/>
          <w:szCs w:val="32"/>
        </w:rPr>
        <w:t>2. 自设备到货验收合格并且全部设备开机测试验收合格、供应商无任何违约行为后，供应商向我行提出书面付款申请并开具符合规定的相应增值税专用发票，我行在审核付款申请合格后向供应商支付产品订单金额的100%。</w:t>
      </w:r>
    </w:p>
    <w:p>
      <w:pPr>
        <w:adjustRightInd w:val="0"/>
        <w:snapToGrid w:val="0"/>
        <w:spacing w:line="580" w:lineRule="exact"/>
        <w:ind w:firstLine="640" w:firstLineChars="200"/>
        <w:rPr>
          <w:rFonts w:ascii="彩虹黑体" w:hAnsi="宋体" w:eastAsia="彩虹黑体" w:cs="Times New Roman"/>
          <w:sz w:val="32"/>
          <w:szCs w:val="32"/>
        </w:rPr>
      </w:pPr>
      <w:r>
        <w:rPr>
          <w:rFonts w:hint="eastAsia" w:ascii="彩虹黑体" w:hAnsi="宋体" w:eastAsia="彩虹黑体" w:cs="Times New Roman"/>
          <w:sz w:val="32"/>
          <w:szCs w:val="32"/>
        </w:rPr>
        <w:t>七、售后服务需求</w:t>
      </w:r>
    </w:p>
    <w:p>
      <w:pPr>
        <w:adjustRightInd w:val="0"/>
        <w:snapToGrid w:val="0"/>
        <w:spacing w:line="580" w:lineRule="exac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w:t>
      </w:r>
      <w:r>
        <w:rPr>
          <w:rFonts w:hint="eastAsia"/>
        </w:rPr>
        <w:t xml:space="preserve"> </w:t>
      </w:r>
      <w:r>
        <w:rPr>
          <w:rFonts w:hint="eastAsia" w:ascii="彩虹粗仿宋" w:hAnsi="宋体" w:eastAsia="彩虹粗仿宋" w:cs="Times New Roman"/>
          <w:snapToGrid w:val="0"/>
          <w:kern w:val="0"/>
          <w:sz w:val="32"/>
          <w:szCs w:val="32"/>
        </w:rPr>
        <w:t>供应商提供的设备必须为经检验合格的、全新的、未曾使用过的设备。硬件产品需送达到指定商户地点，并进行系统安装调试。硬件产品5年免费现场上门保修服务，1年2次巡检支持服务。（保修期以双方验收合格之日起计算）保修期内供应商需提供免费上门维护/维修设备、更换整机或零部件。超过保修期后产生的故障问题，具体配件定价由当时的市场定价决定。我行有权要求供应商予以无条件维修、更换或退货；</w:t>
      </w:r>
    </w:p>
    <w:p>
      <w:pPr>
        <w:adjustRightInd w:val="0"/>
        <w:snapToGrid w:val="0"/>
        <w:spacing w:line="580" w:lineRule="exac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 xml:space="preserve">2.经商户确认，收银机可满足其需求，正常使用数币支付交易测试成功，且对商户相关人员进行操作培训；   </w:t>
      </w:r>
    </w:p>
    <w:p>
      <w:pPr>
        <w:adjustRightInd w:val="0"/>
        <w:snapToGrid w:val="0"/>
        <w:spacing w:line="580" w:lineRule="exac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3.售后服务要求：客服响应时间为7*24小时，故障排除上门响应时间为4小时内；</w:t>
      </w:r>
    </w:p>
    <w:p>
      <w:pPr>
        <w:adjustRightInd w:val="0"/>
        <w:snapToGrid w:val="0"/>
        <w:spacing w:line="580" w:lineRule="exac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4.有效期届满后，在供应商和我行双方尚未续签项目或尚未与第三方另行签订服务项目的过渡期，供应商必须继续为我行提供服务，供应商和我行双方之间仍履行项目约定的各自权利、义务及违约责任；</w:t>
      </w:r>
    </w:p>
    <w:p>
      <w:pPr>
        <w:spacing w:line="580" w:lineRule="exact"/>
        <w:ind w:firstLine="420"/>
        <w:rPr>
          <w:rFonts w:ascii="彩虹粗仿宋" w:hAnsi="宋体" w:eastAsia="彩虹粗仿宋" w:cs="Times New Roman"/>
          <w:sz w:val="32"/>
          <w:szCs w:val="32"/>
        </w:rPr>
      </w:pPr>
      <w:r>
        <w:rPr>
          <w:rFonts w:hint="eastAsia" w:ascii="彩虹黑体" w:hAnsi="宋体" w:eastAsia="彩虹黑体" w:cs="Times New Roman"/>
          <w:sz w:val="32"/>
          <w:szCs w:val="32"/>
        </w:rPr>
        <w:t xml:space="preserve">  八、其他需求</w:t>
      </w:r>
    </w:p>
    <w:p>
      <w:pPr>
        <w:spacing w:line="580" w:lineRule="exact"/>
        <w:ind w:firstLine="640" w:firstLineChars="200"/>
        <w:rPr>
          <w:rFonts w:ascii="彩虹粗仿宋" w:hAnsi="宋体" w:eastAsia="彩虹粗仿宋" w:cs="仿宋"/>
          <w:color w:val="000000"/>
          <w:kern w:val="0"/>
          <w:sz w:val="32"/>
          <w:szCs w:val="32"/>
        </w:rPr>
      </w:pPr>
      <w:r>
        <w:rPr>
          <w:rFonts w:hint="eastAsia" w:ascii="彩虹粗仿宋" w:hAnsi="宋体" w:eastAsia="彩虹粗仿宋" w:cs="Times New Roman"/>
          <w:sz w:val="32"/>
          <w:szCs w:val="32"/>
        </w:rPr>
        <w:t>1.</w:t>
      </w:r>
      <w:r>
        <w:rPr>
          <w:rFonts w:hint="eastAsia" w:ascii="彩虹粗仿宋" w:hAnsi="宋体" w:eastAsia="彩虹粗仿宋" w:cs="仿宋"/>
          <w:color w:val="000000"/>
          <w:kern w:val="0"/>
          <w:sz w:val="32"/>
          <w:szCs w:val="32"/>
        </w:rPr>
        <w:t>供应商必须按照国家个人信息保护相关法律法规的要求对项目中涉及的全部客户信息进行处理和保密，包括但不限于交易账号、交易明细、个人信息及联系方式等；必须按照国家个人信息保护相关法律法规的要求对人脸数据等敏感信息进行处理和保密，不得违反民法典第一千零三十四条“生物识别信息”相关规定；对通过与建行合作项目采集的全部个人信息用于其他用途或供应商发生任何违反个人信息保护相关法律法规的行为时，产生的法律纠纷由供应商全部负责，且我行保留进一步追责的权利；</w:t>
      </w:r>
    </w:p>
    <w:p>
      <w:pPr>
        <w:spacing w:line="580" w:lineRule="exact"/>
        <w:ind w:firstLine="640" w:firstLineChars="200"/>
        <w:rPr>
          <w:rFonts w:ascii="彩虹粗仿宋" w:hAnsi="宋体" w:eastAsia="彩虹粗仿宋" w:cs="仿宋"/>
          <w:color w:val="000000"/>
          <w:kern w:val="0"/>
          <w:sz w:val="32"/>
          <w:szCs w:val="32"/>
        </w:rPr>
      </w:pPr>
      <w:r>
        <w:rPr>
          <w:rFonts w:hint="eastAsia" w:ascii="彩虹粗仿宋" w:hAnsi="宋体" w:eastAsia="彩虹粗仿宋" w:cs="仿宋"/>
          <w:color w:val="000000"/>
          <w:kern w:val="0"/>
          <w:sz w:val="32"/>
          <w:szCs w:val="32"/>
        </w:rPr>
        <w:t>2. 供应商须建立智慧食堂经营风险保障机制，对食堂经营过程中由供应商系统造成的资金损失，全部由供应商赔付；</w:t>
      </w:r>
    </w:p>
    <w:p>
      <w:pPr>
        <w:spacing w:line="580" w:lineRule="exact"/>
        <w:ind w:firstLine="640" w:firstLineChars="200"/>
        <w:rPr>
          <w:rFonts w:ascii="彩虹粗仿宋" w:hAnsi="宋体" w:eastAsia="彩虹粗仿宋" w:cs="仿宋"/>
          <w:color w:val="000000"/>
          <w:kern w:val="0"/>
          <w:sz w:val="32"/>
          <w:szCs w:val="32"/>
        </w:rPr>
      </w:pPr>
      <w:r>
        <w:rPr>
          <w:rFonts w:hint="eastAsia" w:ascii="彩虹粗仿宋" w:hAnsi="宋体" w:eastAsia="彩虹粗仿宋" w:cs="仿宋"/>
          <w:color w:val="000000"/>
          <w:kern w:val="0"/>
          <w:sz w:val="32"/>
          <w:szCs w:val="32"/>
        </w:rPr>
        <w:t>3．如建行需对系统有特殊改造，需要进行大量软件开发的，涉及收费的双方再进行商议；</w:t>
      </w:r>
    </w:p>
    <w:p>
      <w:pPr>
        <w:spacing w:line="580" w:lineRule="exact"/>
        <w:ind w:firstLine="640" w:firstLineChars="200"/>
        <w:rPr>
          <w:rFonts w:ascii="彩虹粗仿宋" w:hAnsi="宋体" w:eastAsia="彩虹粗仿宋" w:cs="仿宋"/>
          <w:color w:val="000000"/>
          <w:kern w:val="0"/>
          <w:sz w:val="32"/>
          <w:szCs w:val="32"/>
        </w:rPr>
      </w:pPr>
      <w:r>
        <w:rPr>
          <w:rFonts w:hint="eastAsia" w:ascii="彩虹粗仿宋" w:hAnsi="宋体" w:eastAsia="彩虹粗仿宋" w:cs="仿宋"/>
          <w:color w:val="000000"/>
          <w:kern w:val="0"/>
          <w:sz w:val="32"/>
          <w:szCs w:val="32"/>
        </w:rPr>
        <w:t>4. 供应商对建行所有支付接口进行免费开发，且不收取任何费用。</w:t>
      </w:r>
    </w:p>
    <w:p>
      <w:pPr>
        <w:spacing w:line="580" w:lineRule="exact"/>
        <w:ind w:firstLine="640" w:firstLineChars="200"/>
        <w:rPr>
          <w:rFonts w:ascii="彩虹粗仿宋" w:hAnsi="宋体" w:eastAsia="彩虹粗仿宋" w:cs="仿宋"/>
          <w:color w:val="000000"/>
          <w:kern w:val="0"/>
          <w:sz w:val="32"/>
          <w:szCs w:val="32"/>
        </w:rPr>
      </w:pPr>
    </w:p>
    <w:p>
      <w:pPr>
        <w:snapToGrid w:val="0"/>
        <w:spacing w:line="580" w:lineRule="exact"/>
        <w:ind w:right="9" w:firstLine="640" w:firstLineChars="200"/>
        <w:rPr>
          <w:rFonts w:ascii="彩虹粗仿宋" w:hAnsi="宋体" w:eastAsia="彩虹粗仿宋"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黑体">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51F"/>
    <w:rsid w:val="000002F0"/>
    <w:rsid w:val="00002191"/>
    <w:rsid w:val="00003F78"/>
    <w:rsid w:val="000043F9"/>
    <w:rsid w:val="00005565"/>
    <w:rsid w:val="00005A1A"/>
    <w:rsid w:val="0000613C"/>
    <w:rsid w:val="000107B3"/>
    <w:rsid w:val="00013CCB"/>
    <w:rsid w:val="0001490C"/>
    <w:rsid w:val="000214E4"/>
    <w:rsid w:val="00024483"/>
    <w:rsid w:val="00026282"/>
    <w:rsid w:val="000346C7"/>
    <w:rsid w:val="000348ED"/>
    <w:rsid w:val="00040977"/>
    <w:rsid w:val="00041713"/>
    <w:rsid w:val="00042835"/>
    <w:rsid w:val="00042865"/>
    <w:rsid w:val="000513FB"/>
    <w:rsid w:val="0005142A"/>
    <w:rsid w:val="0005325F"/>
    <w:rsid w:val="0005711C"/>
    <w:rsid w:val="00057701"/>
    <w:rsid w:val="0005770D"/>
    <w:rsid w:val="000579AC"/>
    <w:rsid w:val="00060BD6"/>
    <w:rsid w:val="00062C9D"/>
    <w:rsid w:val="00063412"/>
    <w:rsid w:val="000705C1"/>
    <w:rsid w:val="00071526"/>
    <w:rsid w:val="00071528"/>
    <w:rsid w:val="000721E3"/>
    <w:rsid w:val="0007312D"/>
    <w:rsid w:val="00073851"/>
    <w:rsid w:val="00074888"/>
    <w:rsid w:val="00074E11"/>
    <w:rsid w:val="00075520"/>
    <w:rsid w:val="000763CE"/>
    <w:rsid w:val="00077131"/>
    <w:rsid w:val="00077BD7"/>
    <w:rsid w:val="00077F3F"/>
    <w:rsid w:val="00081415"/>
    <w:rsid w:val="0008240F"/>
    <w:rsid w:val="00083C4E"/>
    <w:rsid w:val="00092990"/>
    <w:rsid w:val="000939E5"/>
    <w:rsid w:val="000957DF"/>
    <w:rsid w:val="000964ED"/>
    <w:rsid w:val="00096EED"/>
    <w:rsid w:val="00097AC8"/>
    <w:rsid w:val="00097BFF"/>
    <w:rsid w:val="000A05A3"/>
    <w:rsid w:val="000A6F99"/>
    <w:rsid w:val="000A7160"/>
    <w:rsid w:val="000A71E3"/>
    <w:rsid w:val="000A7B0B"/>
    <w:rsid w:val="000B4084"/>
    <w:rsid w:val="000C2A4B"/>
    <w:rsid w:val="000C5CCC"/>
    <w:rsid w:val="000C65D9"/>
    <w:rsid w:val="000C6900"/>
    <w:rsid w:val="000C7386"/>
    <w:rsid w:val="000D1107"/>
    <w:rsid w:val="000D166E"/>
    <w:rsid w:val="000D1776"/>
    <w:rsid w:val="000D541C"/>
    <w:rsid w:val="000D578F"/>
    <w:rsid w:val="000D6A86"/>
    <w:rsid w:val="000E299B"/>
    <w:rsid w:val="000E2C56"/>
    <w:rsid w:val="000E38BB"/>
    <w:rsid w:val="000E5E10"/>
    <w:rsid w:val="000E7333"/>
    <w:rsid w:val="000F02F7"/>
    <w:rsid w:val="000F0E40"/>
    <w:rsid w:val="000F3326"/>
    <w:rsid w:val="000F5B23"/>
    <w:rsid w:val="000F6A18"/>
    <w:rsid w:val="00100024"/>
    <w:rsid w:val="00101350"/>
    <w:rsid w:val="001035DD"/>
    <w:rsid w:val="0010611A"/>
    <w:rsid w:val="0010739B"/>
    <w:rsid w:val="00107889"/>
    <w:rsid w:val="00107D5E"/>
    <w:rsid w:val="00111A01"/>
    <w:rsid w:val="001136F7"/>
    <w:rsid w:val="00113C7D"/>
    <w:rsid w:val="00115F79"/>
    <w:rsid w:val="00117400"/>
    <w:rsid w:val="00117419"/>
    <w:rsid w:val="0012069D"/>
    <w:rsid w:val="001208E0"/>
    <w:rsid w:val="001222C1"/>
    <w:rsid w:val="00122756"/>
    <w:rsid w:val="00122F67"/>
    <w:rsid w:val="001231A8"/>
    <w:rsid w:val="001238D6"/>
    <w:rsid w:val="001304DD"/>
    <w:rsid w:val="00137482"/>
    <w:rsid w:val="00137AA3"/>
    <w:rsid w:val="001404CE"/>
    <w:rsid w:val="00141E40"/>
    <w:rsid w:val="00144A97"/>
    <w:rsid w:val="00146098"/>
    <w:rsid w:val="0015000C"/>
    <w:rsid w:val="00150924"/>
    <w:rsid w:val="00151962"/>
    <w:rsid w:val="00153BC9"/>
    <w:rsid w:val="00154526"/>
    <w:rsid w:val="00154ED2"/>
    <w:rsid w:val="001550E4"/>
    <w:rsid w:val="001556CA"/>
    <w:rsid w:val="0015585F"/>
    <w:rsid w:val="00156011"/>
    <w:rsid w:val="0016171D"/>
    <w:rsid w:val="00162884"/>
    <w:rsid w:val="00162D7B"/>
    <w:rsid w:val="00164C51"/>
    <w:rsid w:val="00164E9C"/>
    <w:rsid w:val="001671EF"/>
    <w:rsid w:val="001679B2"/>
    <w:rsid w:val="0017171E"/>
    <w:rsid w:val="00175EC4"/>
    <w:rsid w:val="0017669A"/>
    <w:rsid w:val="00176849"/>
    <w:rsid w:val="00177ECD"/>
    <w:rsid w:val="00180F52"/>
    <w:rsid w:val="0018197F"/>
    <w:rsid w:val="001830F2"/>
    <w:rsid w:val="00183674"/>
    <w:rsid w:val="00183AD6"/>
    <w:rsid w:val="001902DD"/>
    <w:rsid w:val="00190D97"/>
    <w:rsid w:val="00191A2A"/>
    <w:rsid w:val="00197151"/>
    <w:rsid w:val="00197E28"/>
    <w:rsid w:val="001A0FD8"/>
    <w:rsid w:val="001A6FBB"/>
    <w:rsid w:val="001B08E6"/>
    <w:rsid w:val="001B2A53"/>
    <w:rsid w:val="001B4945"/>
    <w:rsid w:val="001C039E"/>
    <w:rsid w:val="001C1384"/>
    <w:rsid w:val="001C27DF"/>
    <w:rsid w:val="001C3F0E"/>
    <w:rsid w:val="001C5463"/>
    <w:rsid w:val="001C596D"/>
    <w:rsid w:val="001C5FA8"/>
    <w:rsid w:val="001D032D"/>
    <w:rsid w:val="001D2134"/>
    <w:rsid w:val="001D2722"/>
    <w:rsid w:val="001D6BE1"/>
    <w:rsid w:val="001E09B5"/>
    <w:rsid w:val="001E2879"/>
    <w:rsid w:val="001E3869"/>
    <w:rsid w:val="001E40A7"/>
    <w:rsid w:val="001E7A9E"/>
    <w:rsid w:val="001F0B1F"/>
    <w:rsid w:val="001F0BB8"/>
    <w:rsid w:val="001F3D0A"/>
    <w:rsid w:val="001F475E"/>
    <w:rsid w:val="001F7CE2"/>
    <w:rsid w:val="002004F2"/>
    <w:rsid w:val="00200C34"/>
    <w:rsid w:val="00203CD8"/>
    <w:rsid w:val="002044AF"/>
    <w:rsid w:val="002051C2"/>
    <w:rsid w:val="00206EA0"/>
    <w:rsid w:val="0021022B"/>
    <w:rsid w:val="00210B07"/>
    <w:rsid w:val="00216FE6"/>
    <w:rsid w:val="00222B2F"/>
    <w:rsid w:val="00222F39"/>
    <w:rsid w:val="00223FCD"/>
    <w:rsid w:val="00224D29"/>
    <w:rsid w:val="0023031D"/>
    <w:rsid w:val="00230B2D"/>
    <w:rsid w:val="0023107F"/>
    <w:rsid w:val="00231905"/>
    <w:rsid w:val="002334ED"/>
    <w:rsid w:val="00234210"/>
    <w:rsid w:val="00235238"/>
    <w:rsid w:val="0023545A"/>
    <w:rsid w:val="002358E8"/>
    <w:rsid w:val="00236721"/>
    <w:rsid w:val="00240678"/>
    <w:rsid w:val="0024122F"/>
    <w:rsid w:val="00241927"/>
    <w:rsid w:val="00245A62"/>
    <w:rsid w:val="0024607F"/>
    <w:rsid w:val="00246A3F"/>
    <w:rsid w:val="00246A4B"/>
    <w:rsid w:val="002471CE"/>
    <w:rsid w:val="002513AF"/>
    <w:rsid w:val="00253683"/>
    <w:rsid w:val="00253C3C"/>
    <w:rsid w:val="00256212"/>
    <w:rsid w:val="002632FB"/>
    <w:rsid w:val="002634FF"/>
    <w:rsid w:val="00267645"/>
    <w:rsid w:val="00267FF3"/>
    <w:rsid w:val="00272862"/>
    <w:rsid w:val="0027553C"/>
    <w:rsid w:val="00276417"/>
    <w:rsid w:val="002815E5"/>
    <w:rsid w:val="00281F7D"/>
    <w:rsid w:val="002846D0"/>
    <w:rsid w:val="00286A0A"/>
    <w:rsid w:val="00286A6B"/>
    <w:rsid w:val="00292515"/>
    <w:rsid w:val="00293305"/>
    <w:rsid w:val="002953E5"/>
    <w:rsid w:val="002A5614"/>
    <w:rsid w:val="002A6A48"/>
    <w:rsid w:val="002A6C77"/>
    <w:rsid w:val="002A7DEA"/>
    <w:rsid w:val="002B1396"/>
    <w:rsid w:val="002B1728"/>
    <w:rsid w:val="002B346B"/>
    <w:rsid w:val="002B495A"/>
    <w:rsid w:val="002B5030"/>
    <w:rsid w:val="002B68B1"/>
    <w:rsid w:val="002C16FF"/>
    <w:rsid w:val="002C3198"/>
    <w:rsid w:val="002C493E"/>
    <w:rsid w:val="002C4CC0"/>
    <w:rsid w:val="002C5361"/>
    <w:rsid w:val="002D0212"/>
    <w:rsid w:val="002D1FB3"/>
    <w:rsid w:val="002D6791"/>
    <w:rsid w:val="002D6EBD"/>
    <w:rsid w:val="002E1F16"/>
    <w:rsid w:val="002E4B10"/>
    <w:rsid w:val="002E79C7"/>
    <w:rsid w:val="002F0B35"/>
    <w:rsid w:val="002F1992"/>
    <w:rsid w:val="002F1CCD"/>
    <w:rsid w:val="002F4A2E"/>
    <w:rsid w:val="002F7DFE"/>
    <w:rsid w:val="00303584"/>
    <w:rsid w:val="0030643A"/>
    <w:rsid w:val="00312E5C"/>
    <w:rsid w:val="0031304B"/>
    <w:rsid w:val="00313491"/>
    <w:rsid w:val="00313931"/>
    <w:rsid w:val="003148E6"/>
    <w:rsid w:val="00314F84"/>
    <w:rsid w:val="0031772C"/>
    <w:rsid w:val="00321DD7"/>
    <w:rsid w:val="00322269"/>
    <w:rsid w:val="00323CEF"/>
    <w:rsid w:val="0032571C"/>
    <w:rsid w:val="00332EEC"/>
    <w:rsid w:val="00334662"/>
    <w:rsid w:val="003358BE"/>
    <w:rsid w:val="0034306D"/>
    <w:rsid w:val="00343525"/>
    <w:rsid w:val="003436F1"/>
    <w:rsid w:val="00345756"/>
    <w:rsid w:val="00345DAC"/>
    <w:rsid w:val="00347EA0"/>
    <w:rsid w:val="00350D4D"/>
    <w:rsid w:val="00351597"/>
    <w:rsid w:val="0035203C"/>
    <w:rsid w:val="00353E52"/>
    <w:rsid w:val="00354BAB"/>
    <w:rsid w:val="00355192"/>
    <w:rsid w:val="003566DC"/>
    <w:rsid w:val="00357564"/>
    <w:rsid w:val="00362816"/>
    <w:rsid w:val="0036607B"/>
    <w:rsid w:val="0036611B"/>
    <w:rsid w:val="00371FED"/>
    <w:rsid w:val="003734BE"/>
    <w:rsid w:val="00373E51"/>
    <w:rsid w:val="00373E7E"/>
    <w:rsid w:val="00375069"/>
    <w:rsid w:val="00375222"/>
    <w:rsid w:val="0038035C"/>
    <w:rsid w:val="0038111C"/>
    <w:rsid w:val="00382A94"/>
    <w:rsid w:val="00386CF1"/>
    <w:rsid w:val="003904B2"/>
    <w:rsid w:val="0039086E"/>
    <w:rsid w:val="00392160"/>
    <w:rsid w:val="00392173"/>
    <w:rsid w:val="00395178"/>
    <w:rsid w:val="0039533B"/>
    <w:rsid w:val="00395EDC"/>
    <w:rsid w:val="00395F73"/>
    <w:rsid w:val="00397C7C"/>
    <w:rsid w:val="003A07D7"/>
    <w:rsid w:val="003A1B89"/>
    <w:rsid w:val="003A2965"/>
    <w:rsid w:val="003A5B4B"/>
    <w:rsid w:val="003A5DDB"/>
    <w:rsid w:val="003B60D4"/>
    <w:rsid w:val="003C094B"/>
    <w:rsid w:val="003C2144"/>
    <w:rsid w:val="003C564A"/>
    <w:rsid w:val="003C6853"/>
    <w:rsid w:val="003C6F85"/>
    <w:rsid w:val="003C7125"/>
    <w:rsid w:val="003C74DB"/>
    <w:rsid w:val="003C7782"/>
    <w:rsid w:val="003D0E7C"/>
    <w:rsid w:val="003D495B"/>
    <w:rsid w:val="003D6702"/>
    <w:rsid w:val="003D6E09"/>
    <w:rsid w:val="003D706D"/>
    <w:rsid w:val="003D7C6E"/>
    <w:rsid w:val="003D7EBE"/>
    <w:rsid w:val="003E3887"/>
    <w:rsid w:val="003E45C3"/>
    <w:rsid w:val="003F13AF"/>
    <w:rsid w:val="003F1893"/>
    <w:rsid w:val="003F2FF9"/>
    <w:rsid w:val="003F3527"/>
    <w:rsid w:val="003F36EB"/>
    <w:rsid w:val="004015EA"/>
    <w:rsid w:val="004023BA"/>
    <w:rsid w:val="004069AA"/>
    <w:rsid w:val="00410BBA"/>
    <w:rsid w:val="00411613"/>
    <w:rsid w:val="00412122"/>
    <w:rsid w:val="00412FBA"/>
    <w:rsid w:val="0041578E"/>
    <w:rsid w:val="00421E9D"/>
    <w:rsid w:val="004239FE"/>
    <w:rsid w:val="0042422B"/>
    <w:rsid w:val="00424686"/>
    <w:rsid w:val="004251A3"/>
    <w:rsid w:val="0042551D"/>
    <w:rsid w:val="00426712"/>
    <w:rsid w:val="004339C7"/>
    <w:rsid w:val="00434052"/>
    <w:rsid w:val="00434CF2"/>
    <w:rsid w:val="004365B3"/>
    <w:rsid w:val="00437F86"/>
    <w:rsid w:val="00440778"/>
    <w:rsid w:val="00440810"/>
    <w:rsid w:val="00441123"/>
    <w:rsid w:val="00442384"/>
    <w:rsid w:val="00444A11"/>
    <w:rsid w:val="004501AB"/>
    <w:rsid w:val="00450DF5"/>
    <w:rsid w:val="00452A91"/>
    <w:rsid w:val="0045373C"/>
    <w:rsid w:val="00456D34"/>
    <w:rsid w:val="00457711"/>
    <w:rsid w:val="00457994"/>
    <w:rsid w:val="00457D9E"/>
    <w:rsid w:val="00460354"/>
    <w:rsid w:val="004654BF"/>
    <w:rsid w:val="00472B74"/>
    <w:rsid w:val="00475BA3"/>
    <w:rsid w:val="00475DD5"/>
    <w:rsid w:val="00477CA3"/>
    <w:rsid w:val="00477F1B"/>
    <w:rsid w:val="00485419"/>
    <w:rsid w:val="00485662"/>
    <w:rsid w:val="00485A77"/>
    <w:rsid w:val="004865A9"/>
    <w:rsid w:val="00491CBE"/>
    <w:rsid w:val="0049242B"/>
    <w:rsid w:val="00493FE0"/>
    <w:rsid w:val="004A0395"/>
    <w:rsid w:val="004A1BC8"/>
    <w:rsid w:val="004A3968"/>
    <w:rsid w:val="004A4552"/>
    <w:rsid w:val="004A47A9"/>
    <w:rsid w:val="004A6A26"/>
    <w:rsid w:val="004A72BB"/>
    <w:rsid w:val="004B29D6"/>
    <w:rsid w:val="004B6C9D"/>
    <w:rsid w:val="004B7824"/>
    <w:rsid w:val="004C054A"/>
    <w:rsid w:val="004C06DC"/>
    <w:rsid w:val="004C135E"/>
    <w:rsid w:val="004C18E1"/>
    <w:rsid w:val="004C39D1"/>
    <w:rsid w:val="004C5BC0"/>
    <w:rsid w:val="004C707D"/>
    <w:rsid w:val="004D26A1"/>
    <w:rsid w:val="004D659A"/>
    <w:rsid w:val="004D65F3"/>
    <w:rsid w:val="004D7CAA"/>
    <w:rsid w:val="004E2145"/>
    <w:rsid w:val="004E57D7"/>
    <w:rsid w:val="004E62A4"/>
    <w:rsid w:val="004E6840"/>
    <w:rsid w:val="004E6ACC"/>
    <w:rsid w:val="004E767F"/>
    <w:rsid w:val="004F03C6"/>
    <w:rsid w:val="004F306B"/>
    <w:rsid w:val="004F3626"/>
    <w:rsid w:val="004F50EE"/>
    <w:rsid w:val="00501021"/>
    <w:rsid w:val="00501158"/>
    <w:rsid w:val="00501888"/>
    <w:rsid w:val="00501C58"/>
    <w:rsid w:val="00502B66"/>
    <w:rsid w:val="0050328C"/>
    <w:rsid w:val="00507CB4"/>
    <w:rsid w:val="005203CB"/>
    <w:rsid w:val="005203DC"/>
    <w:rsid w:val="005210DB"/>
    <w:rsid w:val="00524FB0"/>
    <w:rsid w:val="0052510E"/>
    <w:rsid w:val="00527D1A"/>
    <w:rsid w:val="00532581"/>
    <w:rsid w:val="00533AA2"/>
    <w:rsid w:val="005343E0"/>
    <w:rsid w:val="00535559"/>
    <w:rsid w:val="00535D66"/>
    <w:rsid w:val="0053678D"/>
    <w:rsid w:val="00540E53"/>
    <w:rsid w:val="005415AC"/>
    <w:rsid w:val="005415AF"/>
    <w:rsid w:val="005422DE"/>
    <w:rsid w:val="005429B8"/>
    <w:rsid w:val="00543661"/>
    <w:rsid w:val="00543D16"/>
    <w:rsid w:val="00543F3A"/>
    <w:rsid w:val="00545691"/>
    <w:rsid w:val="0054624A"/>
    <w:rsid w:val="005513FA"/>
    <w:rsid w:val="00552D90"/>
    <w:rsid w:val="00554A4E"/>
    <w:rsid w:val="00554BA7"/>
    <w:rsid w:val="0055547B"/>
    <w:rsid w:val="00556329"/>
    <w:rsid w:val="00556ED6"/>
    <w:rsid w:val="00560475"/>
    <w:rsid w:val="0056444B"/>
    <w:rsid w:val="00564996"/>
    <w:rsid w:val="00564A5F"/>
    <w:rsid w:val="0056504B"/>
    <w:rsid w:val="005678B2"/>
    <w:rsid w:val="00567FAA"/>
    <w:rsid w:val="005702A6"/>
    <w:rsid w:val="00571EEE"/>
    <w:rsid w:val="0057267A"/>
    <w:rsid w:val="00573176"/>
    <w:rsid w:val="00575F2D"/>
    <w:rsid w:val="0058238E"/>
    <w:rsid w:val="0058264C"/>
    <w:rsid w:val="0058294F"/>
    <w:rsid w:val="00582A82"/>
    <w:rsid w:val="00584799"/>
    <w:rsid w:val="00586E6A"/>
    <w:rsid w:val="00591C96"/>
    <w:rsid w:val="005921FF"/>
    <w:rsid w:val="0059255F"/>
    <w:rsid w:val="005927B4"/>
    <w:rsid w:val="00594D80"/>
    <w:rsid w:val="005969D5"/>
    <w:rsid w:val="005A249B"/>
    <w:rsid w:val="005A484C"/>
    <w:rsid w:val="005A492B"/>
    <w:rsid w:val="005A77EE"/>
    <w:rsid w:val="005B10F8"/>
    <w:rsid w:val="005B2494"/>
    <w:rsid w:val="005B2BFB"/>
    <w:rsid w:val="005B34B8"/>
    <w:rsid w:val="005B43ED"/>
    <w:rsid w:val="005B5B38"/>
    <w:rsid w:val="005B5B63"/>
    <w:rsid w:val="005B7156"/>
    <w:rsid w:val="005B72D6"/>
    <w:rsid w:val="005B7C16"/>
    <w:rsid w:val="005C350F"/>
    <w:rsid w:val="005C443D"/>
    <w:rsid w:val="005C5903"/>
    <w:rsid w:val="005D1257"/>
    <w:rsid w:val="005D16DF"/>
    <w:rsid w:val="005D1A04"/>
    <w:rsid w:val="005D1EE7"/>
    <w:rsid w:val="005D3732"/>
    <w:rsid w:val="005D4409"/>
    <w:rsid w:val="005D4883"/>
    <w:rsid w:val="005D4E71"/>
    <w:rsid w:val="005E01CB"/>
    <w:rsid w:val="005E398B"/>
    <w:rsid w:val="005E5537"/>
    <w:rsid w:val="005E77B6"/>
    <w:rsid w:val="005F099B"/>
    <w:rsid w:val="005F2AF6"/>
    <w:rsid w:val="005F2DA1"/>
    <w:rsid w:val="005F70C6"/>
    <w:rsid w:val="005F75FC"/>
    <w:rsid w:val="00600F9A"/>
    <w:rsid w:val="00602A8D"/>
    <w:rsid w:val="00602F21"/>
    <w:rsid w:val="00605D8E"/>
    <w:rsid w:val="006069C4"/>
    <w:rsid w:val="0060705A"/>
    <w:rsid w:val="00607407"/>
    <w:rsid w:val="00610CDE"/>
    <w:rsid w:val="006114D2"/>
    <w:rsid w:val="0061230A"/>
    <w:rsid w:val="00615201"/>
    <w:rsid w:val="00615CDA"/>
    <w:rsid w:val="00616E2B"/>
    <w:rsid w:val="00623731"/>
    <w:rsid w:val="006246AE"/>
    <w:rsid w:val="00624BF2"/>
    <w:rsid w:val="00625DD4"/>
    <w:rsid w:val="00626F7C"/>
    <w:rsid w:val="00631E00"/>
    <w:rsid w:val="006346E4"/>
    <w:rsid w:val="00636AF7"/>
    <w:rsid w:val="006428BB"/>
    <w:rsid w:val="00643FC5"/>
    <w:rsid w:val="006463E5"/>
    <w:rsid w:val="006505C8"/>
    <w:rsid w:val="00650732"/>
    <w:rsid w:val="00656E6C"/>
    <w:rsid w:val="0066126C"/>
    <w:rsid w:val="00663AAE"/>
    <w:rsid w:val="00664BAC"/>
    <w:rsid w:val="00666191"/>
    <w:rsid w:val="0067182E"/>
    <w:rsid w:val="00673534"/>
    <w:rsid w:val="0067413C"/>
    <w:rsid w:val="00676678"/>
    <w:rsid w:val="00676CC9"/>
    <w:rsid w:val="006776F2"/>
    <w:rsid w:val="006806A7"/>
    <w:rsid w:val="006812BB"/>
    <w:rsid w:val="006815E3"/>
    <w:rsid w:val="0068194E"/>
    <w:rsid w:val="00682234"/>
    <w:rsid w:val="00683337"/>
    <w:rsid w:val="00683A8A"/>
    <w:rsid w:val="00686E99"/>
    <w:rsid w:val="0069106D"/>
    <w:rsid w:val="006924B5"/>
    <w:rsid w:val="006933FA"/>
    <w:rsid w:val="006959FE"/>
    <w:rsid w:val="006A0438"/>
    <w:rsid w:val="006A1EEA"/>
    <w:rsid w:val="006A204F"/>
    <w:rsid w:val="006A44B5"/>
    <w:rsid w:val="006A4E07"/>
    <w:rsid w:val="006A5050"/>
    <w:rsid w:val="006A64B5"/>
    <w:rsid w:val="006A78DA"/>
    <w:rsid w:val="006A7AFF"/>
    <w:rsid w:val="006B2668"/>
    <w:rsid w:val="006B3CB4"/>
    <w:rsid w:val="006B5A95"/>
    <w:rsid w:val="006B6F1E"/>
    <w:rsid w:val="006B7913"/>
    <w:rsid w:val="006C1CBB"/>
    <w:rsid w:val="006C268F"/>
    <w:rsid w:val="006C42A6"/>
    <w:rsid w:val="006C779C"/>
    <w:rsid w:val="006D104C"/>
    <w:rsid w:val="006D4A6E"/>
    <w:rsid w:val="006D55FA"/>
    <w:rsid w:val="006D690E"/>
    <w:rsid w:val="006D7730"/>
    <w:rsid w:val="006E107F"/>
    <w:rsid w:val="006E1784"/>
    <w:rsid w:val="006E520F"/>
    <w:rsid w:val="006E623E"/>
    <w:rsid w:val="006E6C9F"/>
    <w:rsid w:val="006E7424"/>
    <w:rsid w:val="006F2D99"/>
    <w:rsid w:val="006F3846"/>
    <w:rsid w:val="006F4C7F"/>
    <w:rsid w:val="006F4F3F"/>
    <w:rsid w:val="006F77BA"/>
    <w:rsid w:val="006F7C3A"/>
    <w:rsid w:val="0070020A"/>
    <w:rsid w:val="00703423"/>
    <w:rsid w:val="007034F9"/>
    <w:rsid w:val="00706075"/>
    <w:rsid w:val="007060DB"/>
    <w:rsid w:val="0070627C"/>
    <w:rsid w:val="00706353"/>
    <w:rsid w:val="00713451"/>
    <w:rsid w:val="00713DBB"/>
    <w:rsid w:val="00714542"/>
    <w:rsid w:val="00714C87"/>
    <w:rsid w:val="00714EDD"/>
    <w:rsid w:val="007163D7"/>
    <w:rsid w:val="00716481"/>
    <w:rsid w:val="007210E1"/>
    <w:rsid w:val="00722A85"/>
    <w:rsid w:val="00722B98"/>
    <w:rsid w:val="00723F09"/>
    <w:rsid w:val="0072573E"/>
    <w:rsid w:val="00733215"/>
    <w:rsid w:val="00734EB6"/>
    <w:rsid w:val="00735E59"/>
    <w:rsid w:val="007407E9"/>
    <w:rsid w:val="0074089C"/>
    <w:rsid w:val="007428CC"/>
    <w:rsid w:val="0074580E"/>
    <w:rsid w:val="00745DA2"/>
    <w:rsid w:val="00750BCB"/>
    <w:rsid w:val="0075125B"/>
    <w:rsid w:val="00752984"/>
    <w:rsid w:val="007531F6"/>
    <w:rsid w:val="007568D5"/>
    <w:rsid w:val="00756D4D"/>
    <w:rsid w:val="007579C2"/>
    <w:rsid w:val="00762853"/>
    <w:rsid w:val="007631D5"/>
    <w:rsid w:val="00766C2A"/>
    <w:rsid w:val="00766E7D"/>
    <w:rsid w:val="00771328"/>
    <w:rsid w:val="00775DEE"/>
    <w:rsid w:val="00776151"/>
    <w:rsid w:val="00782243"/>
    <w:rsid w:val="007840D4"/>
    <w:rsid w:val="007845FF"/>
    <w:rsid w:val="007854F7"/>
    <w:rsid w:val="00785BBB"/>
    <w:rsid w:val="00786A29"/>
    <w:rsid w:val="00786C5C"/>
    <w:rsid w:val="00790775"/>
    <w:rsid w:val="00790D8F"/>
    <w:rsid w:val="00792D6C"/>
    <w:rsid w:val="00793AF5"/>
    <w:rsid w:val="00793F71"/>
    <w:rsid w:val="007943EA"/>
    <w:rsid w:val="00794484"/>
    <w:rsid w:val="007A6A04"/>
    <w:rsid w:val="007B0FC2"/>
    <w:rsid w:val="007B1682"/>
    <w:rsid w:val="007B1A3D"/>
    <w:rsid w:val="007B1D50"/>
    <w:rsid w:val="007B4964"/>
    <w:rsid w:val="007B5386"/>
    <w:rsid w:val="007B57FC"/>
    <w:rsid w:val="007B781A"/>
    <w:rsid w:val="007C2D90"/>
    <w:rsid w:val="007C3529"/>
    <w:rsid w:val="007C47F0"/>
    <w:rsid w:val="007D1E7C"/>
    <w:rsid w:val="007D518B"/>
    <w:rsid w:val="007D7655"/>
    <w:rsid w:val="007E50B3"/>
    <w:rsid w:val="007E5D87"/>
    <w:rsid w:val="007E60B7"/>
    <w:rsid w:val="007E6A76"/>
    <w:rsid w:val="007E7B7B"/>
    <w:rsid w:val="007F0B37"/>
    <w:rsid w:val="007F4666"/>
    <w:rsid w:val="00802EFE"/>
    <w:rsid w:val="00807340"/>
    <w:rsid w:val="0080763E"/>
    <w:rsid w:val="00813761"/>
    <w:rsid w:val="008150F6"/>
    <w:rsid w:val="00821DF5"/>
    <w:rsid w:val="00823708"/>
    <w:rsid w:val="0082419C"/>
    <w:rsid w:val="00824E40"/>
    <w:rsid w:val="008253D8"/>
    <w:rsid w:val="00831436"/>
    <w:rsid w:val="00832F15"/>
    <w:rsid w:val="00834F60"/>
    <w:rsid w:val="00840397"/>
    <w:rsid w:val="008420E7"/>
    <w:rsid w:val="00842818"/>
    <w:rsid w:val="008445DA"/>
    <w:rsid w:val="00844872"/>
    <w:rsid w:val="00844992"/>
    <w:rsid w:val="00845105"/>
    <w:rsid w:val="00851718"/>
    <w:rsid w:val="00852829"/>
    <w:rsid w:val="00853C8E"/>
    <w:rsid w:val="00853F4A"/>
    <w:rsid w:val="008544F0"/>
    <w:rsid w:val="00855552"/>
    <w:rsid w:val="00856F58"/>
    <w:rsid w:val="00856F7C"/>
    <w:rsid w:val="00860C01"/>
    <w:rsid w:val="00862F29"/>
    <w:rsid w:val="00863393"/>
    <w:rsid w:val="00864477"/>
    <w:rsid w:val="00866833"/>
    <w:rsid w:val="00870730"/>
    <w:rsid w:val="008729B4"/>
    <w:rsid w:val="00883DAF"/>
    <w:rsid w:val="00884F4D"/>
    <w:rsid w:val="00890674"/>
    <w:rsid w:val="008907B9"/>
    <w:rsid w:val="008916DF"/>
    <w:rsid w:val="00892069"/>
    <w:rsid w:val="008930FB"/>
    <w:rsid w:val="00893328"/>
    <w:rsid w:val="00894B17"/>
    <w:rsid w:val="00894CAF"/>
    <w:rsid w:val="008961A6"/>
    <w:rsid w:val="00897ED0"/>
    <w:rsid w:val="008A0A5A"/>
    <w:rsid w:val="008A1331"/>
    <w:rsid w:val="008A5129"/>
    <w:rsid w:val="008A5B60"/>
    <w:rsid w:val="008A6EFC"/>
    <w:rsid w:val="008A75CA"/>
    <w:rsid w:val="008A766F"/>
    <w:rsid w:val="008B107C"/>
    <w:rsid w:val="008B304C"/>
    <w:rsid w:val="008B62BB"/>
    <w:rsid w:val="008C01B4"/>
    <w:rsid w:val="008C37EB"/>
    <w:rsid w:val="008C7028"/>
    <w:rsid w:val="008D0359"/>
    <w:rsid w:val="008D3ED7"/>
    <w:rsid w:val="008D3FB7"/>
    <w:rsid w:val="008D6F0D"/>
    <w:rsid w:val="008E01F2"/>
    <w:rsid w:val="008E42CF"/>
    <w:rsid w:val="008E4A63"/>
    <w:rsid w:val="008E6922"/>
    <w:rsid w:val="008F063B"/>
    <w:rsid w:val="008F0945"/>
    <w:rsid w:val="008F28FB"/>
    <w:rsid w:val="00901250"/>
    <w:rsid w:val="009014AE"/>
    <w:rsid w:val="0090249E"/>
    <w:rsid w:val="00907FB4"/>
    <w:rsid w:val="00911E10"/>
    <w:rsid w:val="0091419D"/>
    <w:rsid w:val="00915C71"/>
    <w:rsid w:val="009216DF"/>
    <w:rsid w:val="00921724"/>
    <w:rsid w:val="0093132C"/>
    <w:rsid w:val="00932F10"/>
    <w:rsid w:val="009346F1"/>
    <w:rsid w:val="00935E1A"/>
    <w:rsid w:val="00936EE6"/>
    <w:rsid w:val="00937077"/>
    <w:rsid w:val="00941035"/>
    <w:rsid w:val="00941493"/>
    <w:rsid w:val="00943567"/>
    <w:rsid w:val="00944D2F"/>
    <w:rsid w:val="009454EE"/>
    <w:rsid w:val="00946069"/>
    <w:rsid w:val="00950348"/>
    <w:rsid w:val="0095079A"/>
    <w:rsid w:val="00950AA9"/>
    <w:rsid w:val="009520D9"/>
    <w:rsid w:val="00956F7D"/>
    <w:rsid w:val="0096114A"/>
    <w:rsid w:val="00964240"/>
    <w:rsid w:val="00973C89"/>
    <w:rsid w:val="00974804"/>
    <w:rsid w:val="009753FE"/>
    <w:rsid w:val="00975E48"/>
    <w:rsid w:val="00977754"/>
    <w:rsid w:val="00982807"/>
    <w:rsid w:val="00983A0C"/>
    <w:rsid w:val="00983D89"/>
    <w:rsid w:val="00987A48"/>
    <w:rsid w:val="00990315"/>
    <w:rsid w:val="00992A80"/>
    <w:rsid w:val="00994656"/>
    <w:rsid w:val="00994ECF"/>
    <w:rsid w:val="009957F8"/>
    <w:rsid w:val="009A3ACF"/>
    <w:rsid w:val="009A574C"/>
    <w:rsid w:val="009A6612"/>
    <w:rsid w:val="009A697A"/>
    <w:rsid w:val="009B089D"/>
    <w:rsid w:val="009B2484"/>
    <w:rsid w:val="009B293F"/>
    <w:rsid w:val="009B2ADD"/>
    <w:rsid w:val="009B6496"/>
    <w:rsid w:val="009C1390"/>
    <w:rsid w:val="009D0156"/>
    <w:rsid w:val="009D0415"/>
    <w:rsid w:val="009D3D4F"/>
    <w:rsid w:val="009D562C"/>
    <w:rsid w:val="009D648F"/>
    <w:rsid w:val="009D78FA"/>
    <w:rsid w:val="009E148C"/>
    <w:rsid w:val="009E29D6"/>
    <w:rsid w:val="009E6D79"/>
    <w:rsid w:val="009E7A47"/>
    <w:rsid w:val="009F21FD"/>
    <w:rsid w:val="009F2389"/>
    <w:rsid w:val="009F4A7D"/>
    <w:rsid w:val="009F6AC8"/>
    <w:rsid w:val="00A0167C"/>
    <w:rsid w:val="00A01AF5"/>
    <w:rsid w:val="00A03141"/>
    <w:rsid w:val="00A04D59"/>
    <w:rsid w:val="00A06640"/>
    <w:rsid w:val="00A0671A"/>
    <w:rsid w:val="00A06EBB"/>
    <w:rsid w:val="00A071D0"/>
    <w:rsid w:val="00A07229"/>
    <w:rsid w:val="00A10F05"/>
    <w:rsid w:val="00A136CE"/>
    <w:rsid w:val="00A1463B"/>
    <w:rsid w:val="00A149BD"/>
    <w:rsid w:val="00A16A92"/>
    <w:rsid w:val="00A208E7"/>
    <w:rsid w:val="00A20C11"/>
    <w:rsid w:val="00A2130B"/>
    <w:rsid w:val="00A219AC"/>
    <w:rsid w:val="00A22463"/>
    <w:rsid w:val="00A23BCD"/>
    <w:rsid w:val="00A244DB"/>
    <w:rsid w:val="00A25C34"/>
    <w:rsid w:val="00A3152E"/>
    <w:rsid w:val="00A33E94"/>
    <w:rsid w:val="00A3465E"/>
    <w:rsid w:val="00A373E4"/>
    <w:rsid w:val="00A373E8"/>
    <w:rsid w:val="00A37DD5"/>
    <w:rsid w:val="00A412D7"/>
    <w:rsid w:val="00A416D0"/>
    <w:rsid w:val="00A41BB0"/>
    <w:rsid w:val="00A438D4"/>
    <w:rsid w:val="00A44C33"/>
    <w:rsid w:val="00A5059A"/>
    <w:rsid w:val="00A507B9"/>
    <w:rsid w:val="00A50A6E"/>
    <w:rsid w:val="00A51291"/>
    <w:rsid w:val="00A634A8"/>
    <w:rsid w:val="00A67463"/>
    <w:rsid w:val="00A70EBE"/>
    <w:rsid w:val="00A73D6F"/>
    <w:rsid w:val="00A74C54"/>
    <w:rsid w:val="00A777F5"/>
    <w:rsid w:val="00A77828"/>
    <w:rsid w:val="00A8635D"/>
    <w:rsid w:val="00A90F48"/>
    <w:rsid w:val="00A92F5E"/>
    <w:rsid w:val="00A932E4"/>
    <w:rsid w:val="00A9359E"/>
    <w:rsid w:val="00AA1630"/>
    <w:rsid w:val="00AA4B0F"/>
    <w:rsid w:val="00AB0D60"/>
    <w:rsid w:val="00AB2A05"/>
    <w:rsid w:val="00AB35D8"/>
    <w:rsid w:val="00AB58F0"/>
    <w:rsid w:val="00AB6BBB"/>
    <w:rsid w:val="00AB7ACC"/>
    <w:rsid w:val="00AC3BE2"/>
    <w:rsid w:val="00AC5397"/>
    <w:rsid w:val="00AC53EC"/>
    <w:rsid w:val="00AC729E"/>
    <w:rsid w:val="00AD19DA"/>
    <w:rsid w:val="00AD23A5"/>
    <w:rsid w:val="00AD2D86"/>
    <w:rsid w:val="00AD4925"/>
    <w:rsid w:val="00AD565C"/>
    <w:rsid w:val="00AE0235"/>
    <w:rsid w:val="00AE46E9"/>
    <w:rsid w:val="00AE4BE9"/>
    <w:rsid w:val="00AE501F"/>
    <w:rsid w:val="00AE524B"/>
    <w:rsid w:val="00AE6144"/>
    <w:rsid w:val="00AE7C22"/>
    <w:rsid w:val="00AF113B"/>
    <w:rsid w:val="00AF258C"/>
    <w:rsid w:val="00AF3A0F"/>
    <w:rsid w:val="00AF3B06"/>
    <w:rsid w:val="00AF473D"/>
    <w:rsid w:val="00AF4F4E"/>
    <w:rsid w:val="00AF5EB9"/>
    <w:rsid w:val="00B01E99"/>
    <w:rsid w:val="00B036A8"/>
    <w:rsid w:val="00B06808"/>
    <w:rsid w:val="00B12777"/>
    <w:rsid w:val="00B1283D"/>
    <w:rsid w:val="00B14704"/>
    <w:rsid w:val="00B15C43"/>
    <w:rsid w:val="00B17B84"/>
    <w:rsid w:val="00B26A5C"/>
    <w:rsid w:val="00B26F52"/>
    <w:rsid w:val="00B30ABA"/>
    <w:rsid w:val="00B31F88"/>
    <w:rsid w:val="00B35783"/>
    <w:rsid w:val="00B36566"/>
    <w:rsid w:val="00B42934"/>
    <w:rsid w:val="00B46F8F"/>
    <w:rsid w:val="00B53873"/>
    <w:rsid w:val="00B53FA4"/>
    <w:rsid w:val="00B5567F"/>
    <w:rsid w:val="00B61BC3"/>
    <w:rsid w:val="00B62CB6"/>
    <w:rsid w:val="00B65672"/>
    <w:rsid w:val="00B67DD3"/>
    <w:rsid w:val="00B67EAC"/>
    <w:rsid w:val="00B70488"/>
    <w:rsid w:val="00B7094A"/>
    <w:rsid w:val="00B70A08"/>
    <w:rsid w:val="00B70C70"/>
    <w:rsid w:val="00B7557E"/>
    <w:rsid w:val="00B836FF"/>
    <w:rsid w:val="00B83719"/>
    <w:rsid w:val="00B8372C"/>
    <w:rsid w:val="00B84020"/>
    <w:rsid w:val="00B84A35"/>
    <w:rsid w:val="00B8542B"/>
    <w:rsid w:val="00B87A1B"/>
    <w:rsid w:val="00B93152"/>
    <w:rsid w:val="00B941C8"/>
    <w:rsid w:val="00BA0F73"/>
    <w:rsid w:val="00BA43D9"/>
    <w:rsid w:val="00BA4573"/>
    <w:rsid w:val="00BA5E09"/>
    <w:rsid w:val="00BB2A2A"/>
    <w:rsid w:val="00BB3563"/>
    <w:rsid w:val="00BB513A"/>
    <w:rsid w:val="00BB6A47"/>
    <w:rsid w:val="00BB6D41"/>
    <w:rsid w:val="00BB7AEC"/>
    <w:rsid w:val="00BC19C8"/>
    <w:rsid w:val="00BC38B2"/>
    <w:rsid w:val="00BD15CF"/>
    <w:rsid w:val="00BD33D5"/>
    <w:rsid w:val="00BD5A18"/>
    <w:rsid w:val="00BD5ABD"/>
    <w:rsid w:val="00BD62A5"/>
    <w:rsid w:val="00BD7D70"/>
    <w:rsid w:val="00BE001B"/>
    <w:rsid w:val="00BE2915"/>
    <w:rsid w:val="00BE2CE4"/>
    <w:rsid w:val="00BE313C"/>
    <w:rsid w:val="00BE49C5"/>
    <w:rsid w:val="00BE627E"/>
    <w:rsid w:val="00BE7205"/>
    <w:rsid w:val="00BE7E42"/>
    <w:rsid w:val="00BF16D0"/>
    <w:rsid w:val="00BF42CA"/>
    <w:rsid w:val="00BF4702"/>
    <w:rsid w:val="00C04F3D"/>
    <w:rsid w:val="00C05B93"/>
    <w:rsid w:val="00C062C0"/>
    <w:rsid w:val="00C11AEF"/>
    <w:rsid w:val="00C13F06"/>
    <w:rsid w:val="00C151F9"/>
    <w:rsid w:val="00C1530F"/>
    <w:rsid w:val="00C16913"/>
    <w:rsid w:val="00C16922"/>
    <w:rsid w:val="00C16C1B"/>
    <w:rsid w:val="00C218AA"/>
    <w:rsid w:val="00C22009"/>
    <w:rsid w:val="00C22AAA"/>
    <w:rsid w:val="00C22B84"/>
    <w:rsid w:val="00C23A6E"/>
    <w:rsid w:val="00C25205"/>
    <w:rsid w:val="00C26E90"/>
    <w:rsid w:val="00C31101"/>
    <w:rsid w:val="00C312CF"/>
    <w:rsid w:val="00C32621"/>
    <w:rsid w:val="00C32A0A"/>
    <w:rsid w:val="00C3411F"/>
    <w:rsid w:val="00C378EF"/>
    <w:rsid w:val="00C37ED2"/>
    <w:rsid w:val="00C44E80"/>
    <w:rsid w:val="00C51ABA"/>
    <w:rsid w:val="00C53978"/>
    <w:rsid w:val="00C53CDA"/>
    <w:rsid w:val="00C54F48"/>
    <w:rsid w:val="00C55AA4"/>
    <w:rsid w:val="00C56280"/>
    <w:rsid w:val="00C565DE"/>
    <w:rsid w:val="00C5751A"/>
    <w:rsid w:val="00C575A9"/>
    <w:rsid w:val="00C606DB"/>
    <w:rsid w:val="00C60A01"/>
    <w:rsid w:val="00C618CD"/>
    <w:rsid w:val="00C628F4"/>
    <w:rsid w:val="00C6544D"/>
    <w:rsid w:val="00C66402"/>
    <w:rsid w:val="00C66AD4"/>
    <w:rsid w:val="00C66E83"/>
    <w:rsid w:val="00C678AA"/>
    <w:rsid w:val="00C70EF4"/>
    <w:rsid w:val="00C711AB"/>
    <w:rsid w:val="00C72A11"/>
    <w:rsid w:val="00C73E6E"/>
    <w:rsid w:val="00C74388"/>
    <w:rsid w:val="00C77183"/>
    <w:rsid w:val="00C80E04"/>
    <w:rsid w:val="00C82396"/>
    <w:rsid w:val="00C82CDC"/>
    <w:rsid w:val="00C82DA3"/>
    <w:rsid w:val="00C8330B"/>
    <w:rsid w:val="00C85AA5"/>
    <w:rsid w:val="00C86DF9"/>
    <w:rsid w:val="00C90F3E"/>
    <w:rsid w:val="00C95335"/>
    <w:rsid w:val="00C95B3B"/>
    <w:rsid w:val="00C96CAB"/>
    <w:rsid w:val="00CA3A5A"/>
    <w:rsid w:val="00CA4646"/>
    <w:rsid w:val="00CA50BA"/>
    <w:rsid w:val="00CA70E4"/>
    <w:rsid w:val="00CB0ABE"/>
    <w:rsid w:val="00CB16F2"/>
    <w:rsid w:val="00CB23A2"/>
    <w:rsid w:val="00CB3818"/>
    <w:rsid w:val="00CB4F3E"/>
    <w:rsid w:val="00CB5361"/>
    <w:rsid w:val="00CB597E"/>
    <w:rsid w:val="00CB6AE3"/>
    <w:rsid w:val="00CB7F03"/>
    <w:rsid w:val="00CC042E"/>
    <w:rsid w:val="00CC3F92"/>
    <w:rsid w:val="00CC5DEA"/>
    <w:rsid w:val="00CC6CB6"/>
    <w:rsid w:val="00CD236E"/>
    <w:rsid w:val="00CD2C5A"/>
    <w:rsid w:val="00CD3A16"/>
    <w:rsid w:val="00CD50E3"/>
    <w:rsid w:val="00CD62B4"/>
    <w:rsid w:val="00CE1A37"/>
    <w:rsid w:val="00CE364A"/>
    <w:rsid w:val="00CE3AE7"/>
    <w:rsid w:val="00CE5EA1"/>
    <w:rsid w:val="00CF035E"/>
    <w:rsid w:val="00CF2AD8"/>
    <w:rsid w:val="00CF32E5"/>
    <w:rsid w:val="00CF3E8E"/>
    <w:rsid w:val="00CF589C"/>
    <w:rsid w:val="00CF6657"/>
    <w:rsid w:val="00D01993"/>
    <w:rsid w:val="00D0199B"/>
    <w:rsid w:val="00D03286"/>
    <w:rsid w:val="00D10313"/>
    <w:rsid w:val="00D118DA"/>
    <w:rsid w:val="00D12781"/>
    <w:rsid w:val="00D133C1"/>
    <w:rsid w:val="00D135F9"/>
    <w:rsid w:val="00D226E2"/>
    <w:rsid w:val="00D23FD4"/>
    <w:rsid w:val="00D25F73"/>
    <w:rsid w:val="00D26BD9"/>
    <w:rsid w:val="00D30093"/>
    <w:rsid w:val="00D32855"/>
    <w:rsid w:val="00D32873"/>
    <w:rsid w:val="00D34EEB"/>
    <w:rsid w:val="00D369CF"/>
    <w:rsid w:val="00D403B3"/>
    <w:rsid w:val="00D429B2"/>
    <w:rsid w:val="00D435A8"/>
    <w:rsid w:val="00D46A58"/>
    <w:rsid w:val="00D53E17"/>
    <w:rsid w:val="00D54BE2"/>
    <w:rsid w:val="00D606AE"/>
    <w:rsid w:val="00D66C4B"/>
    <w:rsid w:val="00D66CE2"/>
    <w:rsid w:val="00D671A4"/>
    <w:rsid w:val="00D67DAB"/>
    <w:rsid w:val="00D70A72"/>
    <w:rsid w:val="00D70F14"/>
    <w:rsid w:val="00D71EBD"/>
    <w:rsid w:val="00D729F6"/>
    <w:rsid w:val="00D72C93"/>
    <w:rsid w:val="00D74D1F"/>
    <w:rsid w:val="00D76209"/>
    <w:rsid w:val="00D8159C"/>
    <w:rsid w:val="00D81E25"/>
    <w:rsid w:val="00D81EB0"/>
    <w:rsid w:val="00D84CB8"/>
    <w:rsid w:val="00D87DC8"/>
    <w:rsid w:val="00D928FE"/>
    <w:rsid w:val="00D93BA4"/>
    <w:rsid w:val="00D977E3"/>
    <w:rsid w:val="00D97EA1"/>
    <w:rsid w:val="00DA30C6"/>
    <w:rsid w:val="00DA3E80"/>
    <w:rsid w:val="00DA3F12"/>
    <w:rsid w:val="00DA5013"/>
    <w:rsid w:val="00DA5198"/>
    <w:rsid w:val="00DA5D66"/>
    <w:rsid w:val="00DA7106"/>
    <w:rsid w:val="00DB0C02"/>
    <w:rsid w:val="00DB186E"/>
    <w:rsid w:val="00DB2B88"/>
    <w:rsid w:val="00DB45A0"/>
    <w:rsid w:val="00DB4E18"/>
    <w:rsid w:val="00DB5A84"/>
    <w:rsid w:val="00DB71E3"/>
    <w:rsid w:val="00DB7C1D"/>
    <w:rsid w:val="00DC3092"/>
    <w:rsid w:val="00DC687E"/>
    <w:rsid w:val="00DD7770"/>
    <w:rsid w:val="00DE316B"/>
    <w:rsid w:val="00DE36B5"/>
    <w:rsid w:val="00DE43E0"/>
    <w:rsid w:val="00DE7AC1"/>
    <w:rsid w:val="00DF4E7C"/>
    <w:rsid w:val="00DF5022"/>
    <w:rsid w:val="00DF6547"/>
    <w:rsid w:val="00E063D6"/>
    <w:rsid w:val="00E06761"/>
    <w:rsid w:val="00E06FFB"/>
    <w:rsid w:val="00E111B6"/>
    <w:rsid w:val="00E12E4C"/>
    <w:rsid w:val="00E143FC"/>
    <w:rsid w:val="00E14A57"/>
    <w:rsid w:val="00E168AA"/>
    <w:rsid w:val="00E168C1"/>
    <w:rsid w:val="00E23E94"/>
    <w:rsid w:val="00E2400E"/>
    <w:rsid w:val="00E3240E"/>
    <w:rsid w:val="00E34D0C"/>
    <w:rsid w:val="00E34D1B"/>
    <w:rsid w:val="00E35795"/>
    <w:rsid w:val="00E3680B"/>
    <w:rsid w:val="00E37034"/>
    <w:rsid w:val="00E37FF8"/>
    <w:rsid w:val="00E41EE1"/>
    <w:rsid w:val="00E43194"/>
    <w:rsid w:val="00E43501"/>
    <w:rsid w:val="00E44E64"/>
    <w:rsid w:val="00E46458"/>
    <w:rsid w:val="00E46F11"/>
    <w:rsid w:val="00E479C1"/>
    <w:rsid w:val="00E47C14"/>
    <w:rsid w:val="00E5051F"/>
    <w:rsid w:val="00E5287B"/>
    <w:rsid w:val="00E53FC7"/>
    <w:rsid w:val="00E554E9"/>
    <w:rsid w:val="00E56035"/>
    <w:rsid w:val="00E56068"/>
    <w:rsid w:val="00E57F03"/>
    <w:rsid w:val="00E61F94"/>
    <w:rsid w:val="00E620FD"/>
    <w:rsid w:val="00E65085"/>
    <w:rsid w:val="00E657E5"/>
    <w:rsid w:val="00E65A71"/>
    <w:rsid w:val="00E668A5"/>
    <w:rsid w:val="00E71C17"/>
    <w:rsid w:val="00E73271"/>
    <w:rsid w:val="00E73519"/>
    <w:rsid w:val="00E73F82"/>
    <w:rsid w:val="00E76A5E"/>
    <w:rsid w:val="00E81CB6"/>
    <w:rsid w:val="00E81E08"/>
    <w:rsid w:val="00E8217A"/>
    <w:rsid w:val="00E83250"/>
    <w:rsid w:val="00E832F5"/>
    <w:rsid w:val="00E84161"/>
    <w:rsid w:val="00E8546A"/>
    <w:rsid w:val="00E8691C"/>
    <w:rsid w:val="00E87467"/>
    <w:rsid w:val="00E87742"/>
    <w:rsid w:val="00E91AAA"/>
    <w:rsid w:val="00E95F01"/>
    <w:rsid w:val="00E967CC"/>
    <w:rsid w:val="00E9788E"/>
    <w:rsid w:val="00EA611D"/>
    <w:rsid w:val="00EA7740"/>
    <w:rsid w:val="00EB03B5"/>
    <w:rsid w:val="00EB0752"/>
    <w:rsid w:val="00EB2171"/>
    <w:rsid w:val="00ED3480"/>
    <w:rsid w:val="00ED37C3"/>
    <w:rsid w:val="00ED3AB8"/>
    <w:rsid w:val="00ED3F13"/>
    <w:rsid w:val="00ED4169"/>
    <w:rsid w:val="00ED52F8"/>
    <w:rsid w:val="00EE1FBE"/>
    <w:rsid w:val="00EE3FFD"/>
    <w:rsid w:val="00EE53B5"/>
    <w:rsid w:val="00EE6CA6"/>
    <w:rsid w:val="00EF2001"/>
    <w:rsid w:val="00EF41C4"/>
    <w:rsid w:val="00EF5046"/>
    <w:rsid w:val="00F00BD9"/>
    <w:rsid w:val="00F011E3"/>
    <w:rsid w:val="00F0322E"/>
    <w:rsid w:val="00F036DB"/>
    <w:rsid w:val="00F0636E"/>
    <w:rsid w:val="00F06B6A"/>
    <w:rsid w:val="00F07254"/>
    <w:rsid w:val="00F0768B"/>
    <w:rsid w:val="00F13ABC"/>
    <w:rsid w:val="00F14655"/>
    <w:rsid w:val="00F1749D"/>
    <w:rsid w:val="00F23FE9"/>
    <w:rsid w:val="00F26CE2"/>
    <w:rsid w:val="00F33BCE"/>
    <w:rsid w:val="00F33C40"/>
    <w:rsid w:val="00F348CB"/>
    <w:rsid w:val="00F353CF"/>
    <w:rsid w:val="00F3560E"/>
    <w:rsid w:val="00F376C9"/>
    <w:rsid w:val="00F419DB"/>
    <w:rsid w:val="00F41DA9"/>
    <w:rsid w:val="00F44ABB"/>
    <w:rsid w:val="00F51226"/>
    <w:rsid w:val="00F5192E"/>
    <w:rsid w:val="00F51E4A"/>
    <w:rsid w:val="00F52018"/>
    <w:rsid w:val="00F540E1"/>
    <w:rsid w:val="00F5539E"/>
    <w:rsid w:val="00F63423"/>
    <w:rsid w:val="00F64D2E"/>
    <w:rsid w:val="00F64E99"/>
    <w:rsid w:val="00F664FD"/>
    <w:rsid w:val="00F67813"/>
    <w:rsid w:val="00F70869"/>
    <w:rsid w:val="00F70C47"/>
    <w:rsid w:val="00F748F4"/>
    <w:rsid w:val="00F74D63"/>
    <w:rsid w:val="00F81FD4"/>
    <w:rsid w:val="00F83ABA"/>
    <w:rsid w:val="00F84F14"/>
    <w:rsid w:val="00F864D8"/>
    <w:rsid w:val="00F905A4"/>
    <w:rsid w:val="00F90990"/>
    <w:rsid w:val="00F946D1"/>
    <w:rsid w:val="00F97854"/>
    <w:rsid w:val="00F97C31"/>
    <w:rsid w:val="00F97FE2"/>
    <w:rsid w:val="00FA1216"/>
    <w:rsid w:val="00FA4E6B"/>
    <w:rsid w:val="00FA6633"/>
    <w:rsid w:val="00FA79A5"/>
    <w:rsid w:val="00FB3E0E"/>
    <w:rsid w:val="00FB3EB6"/>
    <w:rsid w:val="00FB4892"/>
    <w:rsid w:val="00FB7C4F"/>
    <w:rsid w:val="00FC0776"/>
    <w:rsid w:val="00FC60BA"/>
    <w:rsid w:val="00FC7577"/>
    <w:rsid w:val="00FD109C"/>
    <w:rsid w:val="00FD227E"/>
    <w:rsid w:val="00FD3A7B"/>
    <w:rsid w:val="00FE25C2"/>
    <w:rsid w:val="00FE374F"/>
    <w:rsid w:val="00FE45E8"/>
    <w:rsid w:val="00FE52F5"/>
    <w:rsid w:val="00FE6E61"/>
    <w:rsid w:val="00FE721D"/>
    <w:rsid w:val="00FE7B2A"/>
    <w:rsid w:val="00FF1B1F"/>
    <w:rsid w:val="00FF326F"/>
    <w:rsid w:val="00FF4946"/>
    <w:rsid w:val="00FF5062"/>
    <w:rsid w:val="00FF560C"/>
    <w:rsid w:val="00FF61C7"/>
    <w:rsid w:val="02137067"/>
    <w:rsid w:val="07D55DFD"/>
    <w:rsid w:val="12271A4B"/>
    <w:rsid w:val="12B143D6"/>
    <w:rsid w:val="2A712A87"/>
    <w:rsid w:val="323A13F3"/>
    <w:rsid w:val="46905CD0"/>
    <w:rsid w:val="49EA6F97"/>
    <w:rsid w:val="5ECB0CF5"/>
    <w:rsid w:val="666C0F30"/>
    <w:rsid w:val="67264110"/>
    <w:rsid w:val="690969ED"/>
    <w:rsid w:val="6B8F567C"/>
    <w:rsid w:val="7202419A"/>
    <w:rsid w:val="7366402D"/>
    <w:rsid w:val="738E3B46"/>
    <w:rsid w:val="741C7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EC6B0-293F-4775-95F6-165C0AB807C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597</Words>
  <Characters>3408</Characters>
  <Lines>28</Lines>
  <Paragraphs>7</Paragraphs>
  <TotalTime>14</TotalTime>
  <ScaleCrop>false</ScaleCrop>
  <LinksUpToDate>false</LinksUpToDate>
  <CharactersWithSpaces>3998</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2023-03-22T08:29:00Z</dcterms:created>
  <dc:creator>邢增科</dc:creator>
  <cp:lastModifiedBy>Administrator</cp:lastModifiedBy>
  <dcterms:modified xsi:type="dcterms:W3CDTF">2024-03-18T10:01:09Z</dcterms:modified>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B5785F524A3645838AA50FF9FA66791A_13</vt:lpwstr>
  </property>
</Properties>
</file>