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57CCC" w14:textId="77777777" w:rsidR="004049CF" w:rsidRPr="005F1112" w:rsidRDefault="004049CF" w:rsidP="004049CF">
      <w:pPr>
        <w:adjustRightInd w:val="0"/>
        <w:snapToGrid w:val="0"/>
        <w:jc w:val="center"/>
        <w:rPr>
          <w:rFonts w:ascii="宋体" w:hAnsi="宋体" w:cs="Arial"/>
          <w:sz w:val="24"/>
        </w:rPr>
      </w:pPr>
    </w:p>
    <w:p w14:paraId="44017FE4" w14:textId="77777777" w:rsidR="004049CF" w:rsidRPr="005F1112" w:rsidRDefault="004049CF" w:rsidP="004049CF">
      <w:pPr>
        <w:adjustRightInd w:val="0"/>
        <w:snapToGrid w:val="0"/>
        <w:jc w:val="center"/>
        <w:rPr>
          <w:rFonts w:ascii="宋体" w:hAnsi="宋体" w:cs="Arial"/>
          <w:sz w:val="24"/>
        </w:rPr>
      </w:pPr>
    </w:p>
    <w:p w14:paraId="0894293F" w14:textId="77777777" w:rsidR="004049CF" w:rsidRPr="005F1112" w:rsidRDefault="004049CF" w:rsidP="004049CF">
      <w:pPr>
        <w:adjustRightInd w:val="0"/>
        <w:snapToGrid w:val="0"/>
        <w:jc w:val="center"/>
        <w:rPr>
          <w:rFonts w:ascii="宋体" w:hAnsi="宋体" w:cs="Arial"/>
          <w:sz w:val="24"/>
        </w:rPr>
      </w:pPr>
    </w:p>
    <w:p w14:paraId="36FEFA14" w14:textId="77777777" w:rsidR="004049CF" w:rsidRPr="005F1112" w:rsidRDefault="004049CF" w:rsidP="004049CF">
      <w:pPr>
        <w:adjustRightInd w:val="0"/>
        <w:snapToGrid w:val="0"/>
        <w:jc w:val="center"/>
        <w:rPr>
          <w:rFonts w:ascii="宋体" w:hAnsi="宋体" w:cs="Arial"/>
          <w:sz w:val="24"/>
        </w:rPr>
      </w:pPr>
    </w:p>
    <w:p w14:paraId="6ECCA0D6" w14:textId="77777777" w:rsidR="004049CF" w:rsidRPr="005F1112" w:rsidRDefault="004049CF" w:rsidP="004049CF">
      <w:pPr>
        <w:adjustRightInd w:val="0"/>
        <w:snapToGrid w:val="0"/>
        <w:jc w:val="center"/>
        <w:rPr>
          <w:rFonts w:ascii="宋体" w:hAnsi="宋体" w:cs="Arial"/>
          <w:sz w:val="24"/>
        </w:rPr>
      </w:pPr>
    </w:p>
    <w:p w14:paraId="3B432E33" w14:textId="77777777" w:rsidR="004049CF" w:rsidRPr="005F1112" w:rsidRDefault="004049CF" w:rsidP="004049CF">
      <w:pPr>
        <w:adjustRightInd w:val="0"/>
        <w:snapToGrid w:val="0"/>
        <w:jc w:val="center"/>
        <w:rPr>
          <w:rFonts w:ascii="宋体" w:hAnsi="宋体" w:cs="Arial"/>
          <w:sz w:val="24"/>
        </w:rPr>
      </w:pPr>
    </w:p>
    <w:p w14:paraId="1B502921" w14:textId="77777777" w:rsidR="004049CF" w:rsidRPr="005F1112" w:rsidRDefault="004049CF" w:rsidP="004049CF">
      <w:pPr>
        <w:adjustRightInd w:val="0"/>
        <w:snapToGrid w:val="0"/>
        <w:jc w:val="center"/>
        <w:rPr>
          <w:rFonts w:ascii="宋体" w:hAnsi="宋体" w:cs="Arial"/>
          <w:sz w:val="24"/>
        </w:rPr>
      </w:pPr>
    </w:p>
    <w:p w14:paraId="6D469F37" w14:textId="6D0B045A" w:rsidR="004049CF" w:rsidRPr="005F1112" w:rsidRDefault="004049CF" w:rsidP="00B14667">
      <w:pPr>
        <w:spacing w:beforeLines="100" w:before="312" w:afterLines="50" w:after="156" w:line="480" w:lineRule="auto"/>
        <w:jc w:val="center"/>
        <w:rPr>
          <w:rFonts w:ascii="宋体" w:hAnsi="宋体" w:cs="Arial"/>
          <w:b/>
          <w:sz w:val="48"/>
        </w:rPr>
      </w:pPr>
      <w:r w:rsidRPr="005F1112">
        <w:rPr>
          <w:rFonts w:ascii="宋体" w:hAnsi="宋体" w:cs="Arial" w:hint="eastAsia"/>
          <w:b/>
          <w:sz w:val="48"/>
        </w:rPr>
        <w:t>长盛</w:t>
      </w:r>
      <w:r w:rsidR="008015A4" w:rsidRPr="005F1112">
        <w:rPr>
          <w:rFonts w:ascii="宋体" w:hAnsi="宋体" w:cs="Arial" w:hint="eastAsia"/>
          <w:b/>
          <w:sz w:val="48"/>
        </w:rPr>
        <w:t>创新驱动</w:t>
      </w:r>
      <w:r w:rsidRPr="005F1112">
        <w:rPr>
          <w:rFonts w:ascii="宋体" w:hAnsi="宋体" w:cs="Arial" w:hint="eastAsia"/>
          <w:b/>
          <w:sz w:val="48"/>
        </w:rPr>
        <w:t>灵活配置混合型</w:t>
      </w:r>
    </w:p>
    <w:p w14:paraId="49570514" w14:textId="77777777" w:rsidR="004049CF" w:rsidRPr="005F1112" w:rsidRDefault="004049CF" w:rsidP="00B14667">
      <w:pPr>
        <w:spacing w:beforeLines="100" w:before="312" w:afterLines="50" w:after="156" w:line="480" w:lineRule="auto"/>
        <w:jc w:val="center"/>
        <w:rPr>
          <w:rFonts w:ascii="宋体" w:hAnsi="宋体" w:cs="Arial"/>
          <w:b/>
          <w:sz w:val="48"/>
        </w:rPr>
      </w:pPr>
      <w:r w:rsidRPr="005F1112">
        <w:rPr>
          <w:rFonts w:ascii="宋体" w:hAnsi="宋体" w:cs="Arial" w:hint="eastAsia"/>
          <w:b/>
          <w:sz w:val="48"/>
        </w:rPr>
        <w:t>证券投资基金托管协议</w:t>
      </w:r>
    </w:p>
    <w:p w14:paraId="5A658FF6" w14:textId="77777777" w:rsidR="004049CF" w:rsidRPr="005F1112" w:rsidRDefault="004049CF" w:rsidP="004049CF">
      <w:pPr>
        <w:rPr>
          <w:rFonts w:ascii="宋体" w:hAnsi="宋体" w:cs="Arial"/>
          <w:sz w:val="28"/>
        </w:rPr>
      </w:pPr>
    </w:p>
    <w:p w14:paraId="0550ADF5" w14:textId="77777777" w:rsidR="004049CF" w:rsidRPr="005F1112" w:rsidRDefault="004049CF" w:rsidP="004049CF">
      <w:pPr>
        <w:rPr>
          <w:rFonts w:ascii="宋体" w:hAnsi="宋体" w:cs="Arial"/>
          <w:sz w:val="28"/>
        </w:rPr>
      </w:pPr>
    </w:p>
    <w:p w14:paraId="032E3E77" w14:textId="77777777" w:rsidR="004049CF" w:rsidRPr="005F1112" w:rsidRDefault="004049CF" w:rsidP="004049CF">
      <w:pPr>
        <w:rPr>
          <w:rFonts w:ascii="宋体" w:hAnsi="宋体" w:cs="Arial"/>
          <w:sz w:val="28"/>
        </w:rPr>
      </w:pPr>
    </w:p>
    <w:p w14:paraId="201F0006" w14:textId="77777777" w:rsidR="004049CF" w:rsidRPr="005F1112" w:rsidRDefault="004049CF" w:rsidP="004049CF">
      <w:pPr>
        <w:rPr>
          <w:rFonts w:ascii="宋体" w:hAnsi="宋体" w:cs="Arial"/>
          <w:sz w:val="28"/>
        </w:rPr>
      </w:pPr>
    </w:p>
    <w:p w14:paraId="6050A0C6" w14:textId="77777777" w:rsidR="004049CF" w:rsidRPr="005F1112" w:rsidRDefault="004049CF" w:rsidP="004049CF">
      <w:pPr>
        <w:rPr>
          <w:rFonts w:ascii="宋体" w:hAnsi="宋体" w:cs="Arial"/>
          <w:sz w:val="28"/>
        </w:rPr>
      </w:pPr>
    </w:p>
    <w:p w14:paraId="1034BE6C" w14:textId="77777777" w:rsidR="004049CF" w:rsidRPr="005F1112" w:rsidRDefault="004049CF" w:rsidP="004049CF">
      <w:pPr>
        <w:rPr>
          <w:rFonts w:ascii="宋体" w:hAnsi="宋体" w:cs="Arial"/>
          <w:sz w:val="28"/>
        </w:rPr>
      </w:pPr>
    </w:p>
    <w:p w14:paraId="5279FDB0" w14:textId="77777777" w:rsidR="004049CF" w:rsidRPr="005F1112" w:rsidRDefault="004049CF" w:rsidP="004049CF">
      <w:pPr>
        <w:rPr>
          <w:rFonts w:ascii="宋体" w:hAnsi="宋体" w:cs="Arial"/>
          <w:sz w:val="28"/>
        </w:rPr>
      </w:pPr>
    </w:p>
    <w:p w14:paraId="2D063B94" w14:textId="77777777" w:rsidR="004049CF" w:rsidRPr="005F1112" w:rsidRDefault="004049CF" w:rsidP="004049CF">
      <w:pPr>
        <w:rPr>
          <w:rFonts w:ascii="宋体" w:hAnsi="宋体" w:cs="Arial"/>
          <w:sz w:val="28"/>
        </w:rPr>
      </w:pPr>
    </w:p>
    <w:p w14:paraId="63287328" w14:textId="77777777" w:rsidR="004049CF" w:rsidRPr="005F1112" w:rsidRDefault="004049CF" w:rsidP="004049CF">
      <w:pPr>
        <w:rPr>
          <w:rFonts w:ascii="宋体" w:hAnsi="宋体" w:cs="Arial"/>
          <w:sz w:val="28"/>
        </w:rPr>
      </w:pPr>
    </w:p>
    <w:p w14:paraId="21D6AFEE" w14:textId="77777777" w:rsidR="004049CF" w:rsidRPr="005F1112" w:rsidRDefault="004049CF" w:rsidP="004049CF">
      <w:pPr>
        <w:ind w:leftChars="1000" w:left="2100"/>
        <w:rPr>
          <w:rFonts w:ascii="宋体" w:hAnsi="宋体" w:cs="Arial"/>
          <w:b/>
          <w:bCs/>
          <w:sz w:val="28"/>
        </w:rPr>
      </w:pPr>
      <w:r w:rsidRPr="005F1112">
        <w:rPr>
          <w:rFonts w:ascii="宋体" w:hAnsi="宋体" w:cs="Arial" w:hint="eastAsia"/>
          <w:b/>
          <w:bCs/>
          <w:sz w:val="28"/>
        </w:rPr>
        <w:t>基金管理人：长盛基金管理有限公司</w:t>
      </w:r>
    </w:p>
    <w:p w14:paraId="4428149A" w14:textId="77777777" w:rsidR="004049CF" w:rsidRPr="005F1112" w:rsidRDefault="004049CF" w:rsidP="004049CF">
      <w:pPr>
        <w:ind w:leftChars="1000" w:left="2100"/>
        <w:rPr>
          <w:rFonts w:ascii="宋体" w:hAnsi="宋体" w:cs="Arial"/>
          <w:b/>
          <w:bCs/>
          <w:sz w:val="28"/>
        </w:rPr>
      </w:pPr>
      <w:r w:rsidRPr="005F1112">
        <w:rPr>
          <w:rFonts w:ascii="宋体" w:hAnsi="宋体" w:cs="Arial" w:hint="eastAsia"/>
          <w:b/>
          <w:bCs/>
          <w:sz w:val="28"/>
        </w:rPr>
        <w:t>基金托管人：中国建设银行股份有限公司</w:t>
      </w:r>
    </w:p>
    <w:p w14:paraId="50AB3B4D" w14:textId="77777777" w:rsidR="004049CF" w:rsidRPr="005F1112" w:rsidRDefault="004049CF" w:rsidP="004049CF">
      <w:pPr>
        <w:rPr>
          <w:rFonts w:ascii="宋体" w:hAnsi="宋体" w:cs="Arial"/>
          <w:sz w:val="24"/>
        </w:rPr>
      </w:pPr>
    </w:p>
    <w:p w14:paraId="540ECD44" w14:textId="77777777" w:rsidR="004049CF" w:rsidRPr="005F1112" w:rsidRDefault="004049CF" w:rsidP="004049CF">
      <w:pPr>
        <w:rPr>
          <w:rFonts w:ascii="宋体" w:hAnsi="宋体" w:cs="Arial"/>
          <w:sz w:val="24"/>
        </w:rPr>
      </w:pPr>
    </w:p>
    <w:p w14:paraId="56E590CE" w14:textId="77777777" w:rsidR="004049CF" w:rsidRPr="005F1112" w:rsidRDefault="004049CF" w:rsidP="004049CF">
      <w:pPr>
        <w:rPr>
          <w:rFonts w:ascii="宋体" w:hAnsi="宋体" w:cs="Arial"/>
          <w:sz w:val="24"/>
        </w:rPr>
      </w:pPr>
    </w:p>
    <w:p w14:paraId="1C8AAAA9" w14:textId="24F35C67" w:rsidR="004049CF" w:rsidRPr="005F1112" w:rsidRDefault="0043175D" w:rsidP="004049CF">
      <w:pPr>
        <w:jc w:val="center"/>
        <w:rPr>
          <w:rFonts w:ascii="宋体" w:hAnsi="宋体" w:cs="Arial"/>
          <w:sz w:val="28"/>
        </w:rPr>
      </w:pPr>
      <w:r w:rsidRPr="005F1112">
        <w:rPr>
          <w:rFonts w:ascii="宋体" w:hAnsi="宋体" w:cs="Arial" w:hint="eastAsia"/>
          <w:sz w:val="28"/>
        </w:rPr>
        <w:t>二零一七年五月</w:t>
      </w:r>
    </w:p>
    <w:p w14:paraId="0EC1D935" w14:textId="77777777" w:rsidR="004049CF" w:rsidRPr="005F1112" w:rsidRDefault="004049CF" w:rsidP="004049CF">
      <w:pPr>
        <w:rPr>
          <w:rFonts w:ascii="宋体" w:hAnsi="宋体" w:cs="Arial"/>
          <w:sz w:val="24"/>
        </w:rPr>
      </w:pPr>
    </w:p>
    <w:p w14:paraId="3DB6887E" w14:textId="77777777" w:rsidR="004049CF" w:rsidRPr="005F1112" w:rsidRDefault="004049CF" w:rsidP="004049CF">
      <w:pPr>
        <w:adjustRightInd w:val="0"/>
        <w:snapToGrid w:val="0"/>
        <w:jc w:val="center"/>
        <w:rPr>
          <w:rFonts w:ascii="宋体" w:hAnsi="宋体" w:cs="Arial"/>
          <w:bCs/>
          <w:sz w:val="24"/>
        </w:rPr>
        <w:sectPr w:rsidR="004049CF" w:rsidRPr="005F1112">
          <w:footerReference w:type="even" r:id="rId9"/>
          <w:footerReference w:type="default" r:id="rId10"/>
          <w:pgSz w:w="11906" w:h="16838"/>
          <w:pgMar w:top="1418" w:right="1701" w:bottom="1418" w:left="1701" w:header="851" w:footer="992" w:gutter="0"/>
          <w:cols w:space="720"/>
          <w:docGrid w:type="lines" w:linePitch="312"/>
        </w:sectPr>
      </w:pPr>
    </w:p>
    <w:p w14:paraId="1E9F1321" w14:textId="77777777" w:rsidR="004049CF" w:rsidRPr="005F1112" w:rsidRDefault="004049CF" w:rsidP="004049CF">
      <w:pPr>
        <w:jc w:val="center"/>
        <w:rPr>
          <w:rFonts w:ascii="宋体" w:hAnsi="宋体"/>
          <w:b/>
          <w:bCs/>
          <w:sz w:val="30"/>
        </w:rPr>
      </w:pPr>
      <w:r w:rsidRPr="005F1112">
        <w:rPr>
          <w:rFonts w:ascii="宋体" w:hAnsi="宋体" w:hint="eastAsia"/>
          <w:b/>
          <w:bCs/>
          <w:sz w:val="30"/>
        </w:rPr>
        <w:lastRenderedPageBreak/>
        <w:t>目    录</w:t>
      </w:r>
    </w:p>
    <w:p w14:paraId="74A2D4CD" w14:textId="78E243E1" w:rsidR="004049CF" w:rsidRPr="005F1112" w:rsidRDefault="004049CF" w:rsidP="00B14667">
      <w:pPr>
        <w:pStyle w:val="20"/>
        <w:tabs>
          <w:tab w:val="right" w:leader="dot" w:pos="8494"/>
        </w:tabs>
        <w:spacing w:line="360" w:lineRule="auto"/>
        <w:ind w:leftChars="0" w:left="0"/>
        <w:rPr>
          <w:rFonts w:ascii="宋体" w:hAnsi="宋体"/>
          <w:noProof/>
          <w:sz w:val="24"/>
        </w:rPr>
      </w:pPr>
      <w:r w:rsidRPr="005F1112">
        <w:rPr>
          <w:rFonts w:ascii="宋体" w:hAnsi="宋体" w:hint="eastAsia"/>
          <w:sz w:val="24"/>
        </w:rPr>
        <w:fldChar w:fldCharType="begin"/>
      </w:r>
      <w:r w:rsidRPr="005F1112">
        <w:rPr>
          <w:rFonts w:ascii="宋体" w:hAnsi="宋体" w:hint="eastAsia"/>
          <w:sz w:val="24"/>
        </w:rPr>
        <w:instrText xml:space="preserve"> TOC \o "1-2" \h \z </w:instrText>
      </w:r>
      <w:r w:rsidRPr="005F1112">
        <w:rPr>
          <w:rFonts w:ascii="宋体" w:hAnsi="宋体" w:hint="eastAsia"/>
          <w:sz w:val="24"/>
        </w:rPr>
        <w:fldChar w:fldCharType="separate"/>
      </w:r>
      <w:hyperlink w:anchor="_Toc124325885" w:history="1">
        <w:r w:rsidRPr="005F1112">
          <w:rPr>
            <w:rStyle w:val="a4"/>
            <w:rFonts w:ascii="宋体" w:hAnsi="宋体" w:hint="eastAsia"/>
            <w:noProof/>
            <w:color w:val="auto"/>
            <w:sz w:val="24"/>
            <w:szCs w:val="32"/>
          </w:rPr>
          <w:t>一、基金托管协议当事人</w:t>
        </w:r>
        <w:r w:rsidRPr="005F1112">
          <w:rPr>
            <w:rFonts w:ascii="宋体" w:hAnsi="宋体" w:hint="eastAsia"/>
            <w:noProof/>
            <w:sz w:val="24"/>
          </w:rPr>
          <w:tab/>
        </w:r>
        <w:r w:rsidRPr="005F1112">
          <w:rPr>
            <w:rFonts w:ascii="宋体" w:hAnsi="宋体" w:hint="eastAsia"/>
            <w:noProof/>
            <w:sz w:val="24"/>
          </w:rPr>
          <w:fldChar w:fldCharType="begin"/>
        </w:r>
        <w:r w:rsidRPr="005F1112">
          <w:rPr>
            <w:rFonts w:ascii="宋体" w:hAnsi="宋体" w:hint="eastAsia"/>
            <w:noProof/>
            <w:sz w:val="24"/>
          </w:rPr>
          <w:instrText xml:space="preserve"> PAGEREF _Toc124325885 \h </w:instrText>
        </w:r>
        <w:r w:rsidRPr="005F1112">
          <w:rPr>
            <w:rFonts w:ascii="宋体" w:hAnsi="宋体" w:hint="eastAsia"/>
            <w:noProof/>
            <w:sz w:val="24"/>
          </w:rPr>
        </w:r>
        <w:r w:rsidRPr="005F1112">
          <w:rPr>
            <w:rFonts w:ascii="宋体" w:hAnsi="宋体" w:hint="eastAsia"/>
            <w:noProof/>
            <w:sz w:val="24"/>
          </w:rPr>
          <w:fldChar w:fldCharType="separate"/>
        </w:r>
        <w:r w:rsidR="006511A7" w:rsidRPr="005F1112">
          <w:rPr>
            <w:rFonts w:ascii="宋体" w:hAnsi="宋体"/>
            <w:noProof/>
            <w:sz w:val="24"/>
          </w:rPr>
          <w:t>3</w:t>
        </w:r>
        <w:r w:rsidRPr="005F1112">
          <w:rPr>
            <w:rFonts w:ascii="宋体" w:hAnsi="宋体" w:hint="eastAsia"/>
            <w:noProof/>
            <w:sz w:val="24"/>
          </w:rPr>
          <w:fldChar w:fldCharType="end"/>
        </w:r>
      </w:hyperlink>
    </w:p>
    <w:p w14:paraId="25CAC3B8"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86" w:history="1">
        <w:r w:rsidR="004049CF" w:rsidRPr="005F1112">
          <w:rPr>
            <w:rStyle w:val="a4"/>
            <w:rFonts w:ascii="宋体" w:hAnsi="宋体" w:hint="eastAsia"/>
            <w:noProof/>
            <w:color w:val="auto"/>
            <w:sz w:val="24"/>
            <w:szCs w:val="32"/>
          </w:rPr>
          <w:t>二、基金托管协议的依据、目的和原则</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_Toc124325886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4</w:t>
        </w:r>
        <w:r w:rsidR="004049CF" w:rsidRPr="005F1112">
          <w:rPr>
            <w:rFonts w:ascii="宋体" w:hAnsi="宋体" w:hint="eastAsia"/>
            <w:noProof/>
            <w:sz w:val="24"/>
          </w:rPr>
          <w:fldChar w:fldCharType="end"/>
        </w:r>
      </w:hyperlink>
    </w:p>
    <w:p w14:paraId="6EC33E6F"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87" w:history="1">
        <w:r w:rsidR="004049CF" w:rsidRPr="005F1112">
          <w:rPr>
            <w:rStyle w:val="a4"/>
            <w:rFonts w:ascii="宋体" w:hAnsi="宋体" w:hint="eastAsia"/>
            <w:noProof/>
            <w:color w:val="auto"/>
            <w:sz w:val="24"/>
            <w:szCs w:val="32"/>
          </w:rPr>
          <w:t>三、基金托管人对基金管理人的业务监督和核查</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_Toc124325887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5</w:t>
        </w:r>
        <w:r w:rsidR="004049CF" w:rsidRPr="005F1112">
          <w:rPr>
            <w:rFonts w:ascii="宋体" w:hAnsi="宋体" w:hint="eastAsia"/>
            <w:noProof/>
            <w:sz w:val="24"/>
          </w:rPr>
          <w:fldChar w:fldCharType="end"/>
        </w:r>
      </w:hyperlink>
    </w:p>
    <w:p w14:paraId="533F2B4C" w14:textId="7DA68EE6"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88" w:history="1">
        <w:r w:rsidR="004049CF" w:rsidRPr="005F1112">
          <w:rPr>
            <w:rStyle w:val="a4"/>
            <w:rFonts w:ascii="宋体" w:hAnsi="宋体" w:hint="eastAsia"/>
            <w:noProof/>
            <w:color w:val="auto"/>
            <w:sz w:val="24"/>
            <w:szCs w:val="32"/>
          </w:rPr>
          <w:t>四、基金管理人对基金托管人的业务核查</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_Toc124325888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11</w:t>
        </w:r>
        <w:r w:rsidR="004049CF" w:rsidRPr="005F1112">
          <w:rPr>
            <w:rFonts w:ascii="宋体" w:hAnsi="宋体" w:hint="eastAsia"/>
            <w:noProof/>
            <w:sz w:val="24"/>
          </w:rPr>
          <w:fldChar w:fldCharType="end"/>
        </w:r>
      </w:hyperlink>
    </w:p>
    <w:p w14:paraId="396CEFEE"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89" w:history="1">
        <w:r w:rsidR="004049CF" w:rsidRPr="005F1112">
          <w:rPr>
            <w:rStyle w:val="a4"/>
            <w:rFonts w:ascii="宋体" w:hAnsi="宋体" w:hint="eastAsia"/>
            <w:noProof/>
            <w:color w:val="auto"/>
            <w:sz w:val="24"/>
            <w:szCs w:val="32"/>
          </w:rPr>
          <w:t>五、基金财产的保管</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_Toc124325889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11</w:t>
        </w:r>
        <w:r w:rsidR="004049CF" w:rsidRPr="005F1112">
          <w:rPr>
            <w:rFonts w:ascii="宋体" w:hAnsi="宋体" w:hint="eastAsia"/>
            <w:noProof/>
            <w:sz w:val="24"/>
          </w:rPr>
          <w:fldChar w:fldCharType="end"/>
        </w:r>
      </w:hyperlink>
    </w:p>
    <w:p w14:paraId="233D57D4" w14:textId="79C5086F"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0" w:history="1">
        <w:r w:rsidR="004049CF" w:rsidRPr="005F1112">
          <w:rPr>
            <w:rStyle w:val="a4"/>
            <w:rFonts w:ascii="宋体" w:hAnsi="宋体" w:hint="eastAsia"/>
            <w:noProof/>
            <w:color w:val="auto"/>
            <w:sz w:val="24"/>
            <w:szCs w:val="32"/>
          </w:rPr>
          <w:t>六、指令的发送、确认及执行</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_Toc124325890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15</w:t>
        </w:r>
        <w:r w:rsidR="004049CF" w:rsidRPr="005F1112">
          <w:rPr>
            <w:rFonts w:ascii="宋体" w:hAnsi="宋体" w:hint="eastAsia"/>
            <w:noProof/>
            <w:sz w:val="24"/>
          </w:rPr>
          <w:fldChar w:fldCharType="end"/>
        </w:r>
      </w:hyperlink>
    </w:p>
    <w:p w14:paraId="035F15BE"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1" w:history="1">
        <w:r w:rsidR="004049CF" w:rsidRPr="005F1112">
          <w:rPr>
            <w:rStyle w:val="a4"/>
            <w:rFonts w:ascii="宋体" w:hAnsi="宋体" w:hint="eastAsia"/>
            <w:noProof/>
            <w:color w:val="auto"/>
            <w:sz w:val="24"/>
            <w:szCs w:val="32"/>
          </w:rPr>
          <w:t>七、交易及清算交收安</w:t>
        </w:r>
        <w:bookmarkStart w:id="0" w:name="_Hlt419449173"/>
        <w:r w:rsidR="004049CF" w:rsidRPr="005F1112">
          <w:rPr>
            <w:rStyle w:val="a4"/>
            <w:rFonts w:ascii="宋体" w:hAnsi="宋体" w:hint="eastAsia"/>
            <w:noProof/>
            <w:color w:val="auto"/>
            <w:sz w:val="24"/>
            <w:szCs w:val="32"/>
          </w:rPr>
          <w:t>排</w:t>
        </w:r>
        <w:bookmarkEnd w:id="0"/>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_Toc124325891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17</w:t>
        </w:r>
        <w:r w:rsidR="004049CF" w:rsidRPr="005F1112">
          <w:rPr>
            <w:rFonts w:ascii="宋体" w:hAnsi="宋体" w:hint="eastAsia"/>
            <w:noProof/>
            <w:sz w:val="24"/>
          </w:rPr>
          <w:fldChar w:fldCharType="end"/>
        </w:r>
      </w:hyperlink>
    </w:p>
    <w:p w14:paraId="71D1D690" w14:textId="16E18655"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2" w:history="1">
        <w:r w:rsidR="004049CF" w:rsidRPr="005F1112">
          <w:rPr>
            <w:rStyle w:val="a4"/>
            <w:rFonts w:ascii="宋体" w:hAnsi="宋体" w:hint="eastAsia"/>
            <w:noProof/>
            <w:color w:val="auto"/>
            <w:sz w:val="24"/>
            <w:szCs w:val="32"/>
          </w:rPr>
          <w:t>八、基金资产净值</w:t>
        </w:r>
        <w:bookmarkStart w:id="1" w:name="_Hlt419449178"/>
        <w:r w:rsidR="004049CF" w:rsidRPr="005F1112">
          <w:rPr>
            <w:rStyle w:val="a4"/>
            <w:rFonts w:ascii="宋体" w:hAnsi="宋体" w:hint="eastAsia"/>
            <w:noProof/>
            <w:color w:val="auto"/>
            <w:sz w:val="24"/>
            <w:szCs w:val="32"/>
          </w:rPr>
          <w:t>计</w:t>
        </w:r>
        <w:bookmarkEnd w:id="1"/>
        <w:r w:rsidR="004049CF" w:rsidRPr="005F1112">
          <w:rPr>
            <w:rStyle w:val="a4"/>
            <w:rFonts w:ascii="宋体" w:hAnsi="宋体" w:hint="eastAsia"/>
            <w:noProof/>
            <w:color w:val="auto"/>
            <w:sz w:val="24"/>
            <w:szCs w:val="32"/>
          </w:rPr>
          <w:t>算和会计核算</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_Toc124325892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22</w:t>
        </w:r>
        <w:r w:rsidR="004049CF" w:rsidRPr="005F1112">
          <w:rPr>
            <w:rFonts w:ascii="宋体" w:hAnsi="宋体" w:hint="eastAsia"/>
            <w:noProof/>
            <w:sz w:val="24"/>
          </w:rPr>
          <w:fldChar w:fldCharType="end"/>
        </w:r>
      </w:hyperlink>
    </w:p>
    <w:p w14:paraId="1A214987"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3" w:history="1">
        <w:r w:rsidR="004049CF" w:rsidRPr="005F1112">
          <w:rPr>
            <w:rStyle w:val="a4"/>
            <w:rFonts w:ascii="宋体" w:hAnsi="宋体" w:hint="eastAsia"/>
            <w:noProof/>
            <w:color w:val="auto"/>
            <w:sz w:val="24"/>
            <w:szCs w:val="32"/>
          </w:rPr>
          <w:t>九、基金收益分配</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_Toc124325893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26</w:t>
        </w:r>
        <w:r w:rsidR="004049CF" w:rsidRPr="005F1112">
          <w:rPr>
            <w:rFonts w:ascii="宋体" w:hAnsi="宋体" w:hint="eastAsia"/>
            <w:noProof/>
            <w:sz w:val="24"/>
          </w:rPr>
          <w:fldChar w:fldCharType="end"/>
        </w:r>
      </w:hyperlink>
    </w:p>
    <w:p w14:paraId="0A0E7339"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4" w:history="1">
        <w:r w:rsidR="004049CF" w:rsidRPr="005F1112">
          <w:rPr>
            <w:rStyle w:val="a4"/>
            <w:rFonts w:ascii="宋体" w:hAnsi="宋体" w:hint="eastAsia"/>
            <w:noProof/>
            <w:color w:val="auto"/>
            <w:sz w:val="24"/>
            <w:szCs w:val="32"/>
          </w:rPr>
          <w:t>十、基金信息披露</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_Toc124325894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27</w:t>
        </w:r>
        <w:r w:rsidR="004049CF" w:rsidRPr="005F1112">
          <w:rPr>
            <w:rFonts w:ascii="宋体" w:hAnsi="宋体" w:hint="eastAsia"/>
            <w:noProof/>
            <w:sz w:val="24"/>
          </w:rPr>
          <w:fldChar w:fldCharType="end"/>
        </w:r>
      </w:hyperlink>
    </w:p>
    <w:p w14:paraId="67670781" w14:textId="64EB3608"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5" w:history="1">
        <w:r w:rsidR="004049CF" w:rsidRPr="005F1112">
          <w:rPr>
            <w:rStyle w:val="a4"/>
            <w:rFonts w:ascii="宋体" w:hAnsi="宋体" w:hint="eastAsia"/>
            <w:noProof/>
            <w:color w:val="auto"/>
            <w:sz w:val="24"/>
            <w:szCs w:val="32"/>
          </w:rPr>
          <w:t>十一、基金费用</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_Toc124325895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29</w:t>
        </w:r>
        <w:r w:rsidR="004049CF" w:rsidRPr="005F1112">
          <w:rPr>
            <w:rFonts w:ascii="宋体" w:hAnsi="宋体" w:hint="eastAsia"/>
            <w:noProof/>
            <w:sz w:val="24"/>
          </w:rPr>
          <w:fldChar w:fldCharType="end"/>
        </w:r>
      </w:hyperlink>
    </w:p>
    <w:p w14:paraId="7697C9BC"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6" w:history="1">
        <w:r w:rsidR="004049CF" w:rsidRPr="005F1112">
          <w:rPr>
            <w:rStyle w:val="a4"/>
            <w:rFonts w:ascii="宋体" w:hAnsi="宋体" w:hint="eastAsia"/>
            <w:noProof/>
            <w:color w:val="auto"/>
            <w:sz w:val="24"/>
            <w:szCs w:val="32"/>
          </w:rPr>
          <w:t>十二、基金份额持有人名册的保管</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_Toc124325896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30</w:t>
        </w:r>
        <w:r w:rsidR="004049CF" w:rsidRPr="005F1112">
          <w:rPr>
            <w:rFonts w:ascii="宋体" w:hAnsi="宋体" w:hint="eastAsia"/>
            <w:noProof/>
            <w:sz w:val="24"/>
          </w:rPr>
          <w:fldChar w:fldCharType="end"/>
        </w:r>
      </w:hyperlink>
    </w:p>
    <w:p w14:paraId="38232463"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7" w:history="1">
        <w:r w:rsidR="004049CF" w:rsidRPr="005F1112">
          <w:rPr>
            <w:rStyle w:val="a4"/>
            <w:rFonts w:ascii="宋体" w:hAnsi="宋体" w:hint="eastAsia"/>
            <w:noProof/>
            <w:color w:val="auto"/>
            <w:sz w:val="24"/>
            <w:szCs w:val="32"/>
          </w:rPr>
          <w:t>十三、基金有关文件档案的保存</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_Toc124325897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30</w:t>
        </w:r>
        <w:r w:rsidR="004049CF" w:rsidRPr="005F1112">
          <w:rPr>
            <w:rFonts w:ascii="宋体" w:hAnsi="宋体" w:hint="eastAsia"/>
            <w:noProof/>
            <w:sz w:val="24"/>
          </w:rPr>
          <w:fldChar w:fldCharType="end"/>
        </w:r>
      </w:hyperlink>
    </w:p>
    <w:p w14:paraId="3737C3CE" w14:textId="2E84B1DD"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8" w:history="1">
        <w:r w:rsidR="004049CF" w:rsidRPr="005F1112">
          <w:rPr>
            <w:rStyle w:val="a4"/>
            <w:rFonts w:ascii="宋体" w:hAnsi="宋体" w:hint="eastAsia"/>
            <w:noProof/>
            <w:color w:val="auto"/>
            <w:sz w:val="24"/>
            <w:szCs w:val="32"/>
          </w:rPr>
          <w:t>十四、基金管理人和基金托管人的更换</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_Toc124325898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31</w:t>
        </w:r>
        <w:r w:rsidR="004049CF" w:rsidRPr="005F1112">
          <w:rPr>
            <w:rFonts w:ascii="宋体" w:hAnsi="宋体" w:hint="eastAsia"/>
            <w:noProof/>
            <w:sz w:val="24"/>
          </w:rPr>
          <w:fldChar w:fldCharType="end"/>
        </w:r>
      </w:hyperlink>
    </w:p>
    <w:p w14:paraId="715F8781"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899" w:history="1">
        <w:r w:rsidR="004049CF" w:rsidRPr="005F1112">
          <w:rPr>
            <w:rStyle w:val="a4"/>
            <w:rFonts w:ascii="宋体" w:hAnsi="宋体" w:hint="eastAsia"/>
            <w:noProof/>
            <w:color w:val="auto"/>
            <w:sz w:val="24"/>
            <w:szCs w:val="32"/>
          </w:rPr>
          <w:t>十五、禁止行为</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_Toc124325899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33</w:t>
        </w:r>
        <w:r w:rsidR="004049CF" w:rsidRPr="005F1112">
          <w:rPr>
            <w:rFonts w:ascii="宋体" w:hAnsi="宋体" w:hint="eastAsia"/>
            <w:noProof/>
            <w:sz w:val="24"/>
          </w:rPr>
          <w:fldChar w:fldCharType="end"/>
        </w:r>
      </w:hyperlink>
    </w:p>
    <w:p w14:paraId="78DE5F9D"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900" w:history="1">
        <w:r w:rsidR="004049CF" w:rsidRPr="005F1112">
          <w:rPr>
            <w:rStyle w:val="a4"/>
            <w:rFonts w:ascii="宋体" w:hAnsi="宋体" w:hint="eastAsia"/>
            <w:noProof/>
            <w:color w:val="auto"/>
            <w:sz w:val="24"/>
            <w:szCs w:val="32"/>
          </w:rPr>
          <w:t>十六、托管协议的变更、终止与基金财产的清算</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_Toc124325900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34</w:t>
        </w:r>
        <w:r w:rsidR="004049CF" w:rsidRPr="005F1112">
          <w:rPr>
            <w:rFonts w:ascii="宋体" w:hAnsi="宋体" w:hint="eastAsia"/>
            <w:noProof/>
            <w:sz w:val="24"/>
          </w:rPr>
          <w:fldChar w:fldCharType="end"/>
        </w:r>
      </w:hyperlink>
    </w:p>
    <w:p w14:paraId="0606FEB4" w14:textId="33A846C6"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901" w:history="1">
        <w:r w:rsidR="004049CF" w:rsidRPr="005F1112">
          <w:rPr>
            <w:rStyle w:val="a4"/>
            <w:rFonts w:ascii="宋体" w:hAnsi="宋体" w:hint="eastAsia"/>
            <w:noProof/>
            <w:color w:val="auto"/>
            <w:sz w:val="24"/>
            <w:szCs w:val="32"/>
          </w:rPr>
          <w:t>十七、违约责任</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_Toc124325901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36</w:t>
        </w:r>
        <w:r w:rsidR="004049CF" w:rsidRPr="005F1112">
          <w:rPr>
            <w:rFonts w:ascii="宋体" w:hAnsi="宋体" w:hint="eastAsia"/>
            <w:noProof/>
            <w:sz w:val="24"/>
          </w:rPr>
          <w:fldChar w:fldCharType="end"/>
        </w:r>
      </w:hyperlink>
    </w:p>
    <w:p w14:paraId="5565EBD2" w14:textId="59AFEB73"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902" w:history="1">
        <w:r w:rsidR="004049CF" w:rsidRPr="005F1112">
          <w:rPr>
            <w:rStyle w:val="a4"/>
            <w:rFonts w:ascii="宋体" w:hAnsi="宋体" w:hint="eastAsia"/>
            <w:noProof/>
            <w:color w:val="auto"/>
            <w:sz w:val="24"/>
            <w:szCs w:val="32"/>
          </w:rPr>
          <w:t>十八、争议解决方式</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_Toc124325902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37</w:t>
        </w:r>
        <w:r w:rsidR="004049CF" w:rsidRPr="005F1112">
          <w:rPr>
            <w:rFonts w:ascii="宋体" w:hAnsi="宋体" w:hint="eastAsia"/>
            <w:noProof/>
            <w:sz w:val="24"/>
          </w:rPr>
          <w:fldChar w:fldCharType="end"/>
        </w:r>
      </w:hyperlink>
    </w:p>
    <w:p w14:paraId="4214CC7A" w14:textId="4CE88C98"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903" w:history="1">
        <w:r w:rsidR="004049CF" w:rsidRPr="005F1112">
          <w:rPr>
            <w:rStyle w:val="a4"/>
            <w:rFonts w:ascii="宋体" w:hAnsi="宋体" w:hint="eastAsia"/>
            <w:noProof/>
            <w:color w:val="auto"/>
            <w:sz w:val="24"/>
            <w:szCs w:val="32"/>
          </w:rPr>
          <w:t>十九、托管协议的效力</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_Toc124325903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37</w:t>
        </w:r>
        <w:r w:rsidR="004049CF" w:rsidRPr="005F1112">
          <w:rPr>
            <w:rFonts w:ascii="宋体" w:hAnsi="宋体" w:hint="eastAsia"/>
            <w:noProof/>
            <w:sz w:val="24"/>
          </w:rPr>
          <w:fldChar w:fldCharType="end"/>
        </w:r>
      </w:hyperlink>
    </w:p>
    <w:p w14:paraId="32F54175" w14:textId="77777777" w:rsidR="004049CF" w:rsidRPr="005F1112" w:rsidRDefault="0067241B" w:rsidP="00B14667">
      <w:pPr>
        <w:pStyle w:val="20"/>
        <w:tabs>
          <w:tab w:val="right" w:leader="dot" w:pos="8494"/>
        </w:tabs>
        <w:spacing w:line="360" w:lineRule="auto"/>
        <w:ind w:leftChars="0" w:left="0"/>
        <w:rPr>
          <w:rFonts w:ascii="宋体" w:hAnsi="宋体"/>
          <w:noProof/>
          <w:sz w:val="24"/>
        </w:rPr>
      </w:pPr>
      <w:hyperlink w:anchor="_Toc124325904" w:history="1">
        <w:r w:rsidR="004049CF" w:rsidRPr="005F1112">
          <w:rPr>
            <w:rStyle w:val="a4"/>
            <w:rFonts w:ascii="宋体" w:hAnsi="宋体" w:hint="eastAsia"/>
            <w:noProof/>
            <w:color w:val="auto"/>
            <w:sz w:val="24"/>
            <w:szCs w:val="32"/>
          </w:rPr>
          <w:t>二十、其他事项</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_Toc124325904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37</w:t>
        </w:r>
        <w:r w:rsidR="004049CF" w:rsidRPr="005F1112">
          <w:rPr>
            <w:rFonts w:ascii="宋体" w:hAnsi="宋体" w:hint="eastAsia"/>
            <w:noProof/>
            <w:sz w:val="24"/>
          </w:rPr>
          <w:fldChar w:fldCharType="end"/>
        </w:r>
      </w:hyperlink>
    </w:p>
    <w:p w14:paraId="05DCF6E1" w14:textId="106679B0" w:rsidR="004049CF" w:rsidRPr="005F1112" w:rsidRDefault="0067241B" w:rsidP="00B14667">
      <w:pPr>
        <w:pStyle w:val="20"/>
        <w:tabs>
          <w:tab w:val="right" w:leader="dot" w:pos="8494"/>
        </w:tabs>
        <w:spacing w:line="360" w:lineRule="auto"/>
        <w:ind w:leftChars="0" w:left="0"/>
        <w:rPr>
          <w:rFonts w:ascii="宋体" w:hAnsi="宋体"/>
          <w:sz w:val="24"/>
        </w:rPr>
      </w:pPr>
      <w:hyperlink w:anchor="_Toc124325905" w:history="1">
        <w:r w:rsidR="004049CF" w:rsidRPr="005F1112">
          <w:rPr>
            <w:rStyle w:val="a4"/>
            <w:rFonts w:ascii="宋体" w:hAnsi="宋体" w:hint="eastAsia"/>
            <w:noProof/>
            <w:color w:val="auto"/>
            <w:sz w:val="24"/>
            <w:szCs w:val="32"/>
          </w:rPr>
          <w:t>二十一、托管协议的签订</w:t>
        </w:r>
        <w:r w:rsidR="004049CF" w:rsidRPr="005F1112">
          <w:rPr>
            <w:rFonts w:ascii="宋体" w:hAnsi="宋体" w:hint="eastAsia"/>
            <w:noProof/>
            <w:sz w:val="24"/>
          </w:rPr>
          <w:tab/>
        </w:r>
        <w:r w:rsidR="004049CF" w:rsidRPr="005F1112">
          <w:rPr>
            <w:rFonts w:ascii="宋体" w:hAnsi="宋体" w:hint="eastAsia"/>
            <w:noProof/>
            <w:sz w:val="24"/>
          </w:rPr>
          <w:fldChar w:fldCharType="begin"/>
        </w:r>
        <w:r w:rsidR="004049CF" w:rsidRPr="005F1112">
          <w:rPr>
            <w:rFonts w:ascii="宋体" w:hAnsi="宋体" w:hint="eastAsia"/>
            <w:noProof/>
            <w:sz w:val="24"/>
          </w:rPr>
          <w:instrText xml:space="preserve"> PAGEREF _Toc124325905 \h </w:instrText>
        </w:r>
        <w:r w:rsidR="004049CF" w:rsidRPr="005F1112">
          <w:rPr>
            <w:rFonts w:ascii="宋体" w:hAnsi="宋体" w:hint="eastAsia"/>
            <w:noProof/>
            <w:sz w:val="24"/>
          </w:rPr>
        </w:r>
        <w:r w:rsidR="004049CF" w:rsidRPr="005F1112">
          <w:rPr>
            <w:rFonts w:ascii="宋体" w:hAnsi="宋体" w:hint="eastAsia"/>
            <w:noProof/>
            <w:sz w:val="24"/>
          </w:rPr>
          <w:fldChar w:fldCharType="separate"/>
        </w:r>
        <w:r w:rsidR="006511A7" w:rsidRPr="005F1112">
          <w:rPr>
            <w:rFonts w:ascii="宋体" w:hAnsi="宋体"/>
            <w:noProof/>
            <w:sz w:val="24"/>
          </w:rPr>
          <w:t>38</w:t>
        </w:r>
        <w:r w:rsidR="004049CF" w:rsidRPr="005F1112">
          <w:rPr>
            <w:rFonts w:ascii="宋体" w:hAnsi="宋体" w:hint="eastAsia"/>
            <w:noProof/>
            <w:sz w:val="24"/>
          </w:rPr>
          <w:fldChar w:fldCharType="end"/>
        </w:r>
      </w:hyperlink>
      <w:r w:rsidR="004049CF" w:rsidRPr="005F1112">
        <w:rPr>
          <w:rFonts w:ascii="宋体" w:hAnsi="宋体" w:hint="eastAsia"/>
          <w:sz w:val="24"/>
        </w:rPr>
        <w:fldChar w:fldCharType="end"/>
      </w:r>
    </w:p>
    <w:p w14:paraId="08F7D342" w14:textId="77777777" w:rsidR="004049CF" w:rsidRPr="005F1112" w:rsidRDefault="004049CF" w:rsidP="00B14667">
      <w:pPr>
        <w:spacing w:line="360" w:lineRule="auto"/>
        <w:rPr>
          <w:rFonts w:ascii="宋体" w:hAnsi="宋体"/>
          <w:sz w:val="24"/>
        </w:rPr>
        <w:sectPr w:rsidR="004049CF" w:rsidRPr="005F1112">
          <w:headerReference w:type="default" r:id="rId11"/>
          <w:pgSz w:w="11906" w:h="16838"/>
          <w:pgMar w:top="1418" w:right="1701" w:bottom="1418" w:left="1701" w:header="851" w:footer="992" w:gutter="0"/>
          <w:cols w:space="720"/>
          <w:docGrid w:type="lines" w:linePitch="312"/>
        </w:sectPr>
      </w:pPr>
    </w:p>
    <w:p w14:paraId="26704353" w14:textId="77777777" w:rsidR="004049CF" w:rsidRPr="005F1112" w:rsidRDefault="004049CF" w:rsidP="004049CF">
      <w:pPr>
        <w:rPr>
          <w:rFonts w:ascii="宋体" w:hAnsi="宋体"/>
          <w:sz w:val="24"/>
        </w:rPr>
      </w:pPr>
    </w:p>
    <w:p w14:paraId="3BD39168" w14:textId="1B53135D" w:rsidR="004049CF" w:rsidRPr="005F1112" w:rsidRDefault="004049CF" w:rsidP="004049CF">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鉴于长盛基金管理有限公司系一家依照中国法律合法成立并有效存续的有限责任公司，按照相关法律法规的规定具备担任基金管理人的资格和能力，拟募集发行长盛</w:t>
      </w:r>
      <w:r w:rsidR="008015A4" w:rsidRPr="005F1112">
        <w:rPr>
          <w:rFonts w:ascii="宋体" w:hAnsi="宋体" w:cs="Arial" w:hint="eastAsia"/>
          <w:kern w:val="0"/>
          <w:sz w:val="24"/>
        </w:rPr>
        <w:t>创新驱动</w:t>
      </w:r>
      <w:r w:rsidRPr="005F1112">
        <w:rPr>
          <w:rFonts w:ascii="宋体" w:hAnsi="宋体" w:cs="Arial" w:hint="eastAsia"/>
          <w:kern w:val="0"/>
          <w:sz w:val="24"/>
        </w:rPr>
        <w:t>灵活配置混合型证券投资基金；</w:t>
      </w:r>
    </w:p>
    <w:p w14:paraId="3E7E1CD8" w14:textId="77777777" w:rsidR="004049CF" w:rsidRPr="005F1112" w:rsidRDefault="004049CF" w:rsidP="004049CF">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鉴于中国建设银行股份有限公司系一家依照中国法律合法成立并有效存续的银行，按照相关法律法规的规定具备担任基金托管人的资格和能力；</w:t>
      </w:r>
    </w:p>
    <w:p w14:paraId="0725710D" w14:textId="5D1A9D97" w:rsidR="004049CF" w:rsidRPr="005F1112" w:rsidRDefault="004049CF" w:rsidP="004049CF">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鉴于长盛基金管理有限公司拟担任证券投资基金的基金管理人，中国建设银行股份有限公司拟担任长盛</w:t>
      </w:r>
      <w:r w:rsidR="008015A4" w:rsidRPr="005F1112">
        <w:rPr>
          <w:rFonts w:ascii="宋体" w:hAnsi="宋体" w:cs="Arial" w:hint="eastAsia"/>
          <w:kern w:val="0"/>
          <w:sz w:val="24"/>
        </w:rPr>
        <w:t>创新驱动</w:t>
      </w:r>
      <w:r w:rsidRPr="005F1112">
        <w:rPr>
          <w:rFonts w:ascii="宋体" w:hAnsi="宋体" w:cs="Arial" w:hint="eastAsia"/>
          <w:kern w:val="0"/>
          <w:sz w:val="24"/>
        </w:rPr>
        <w:t>灵活配置混合型证券投资基金的基金托管人；</w:t>
      </w:r>
    </w:p>
    <w:p w14:paraId="426EA663" w14:textId="611C9CA5" w:rsidR="004049CF" w:rsidRPr="005F1112" w:rsidRDefault="004049CF" w:rsidP="004049CF">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为明确长盛</w:t>
      </w:r>
      <w:r w:rsidR="008015A4" w:rsidRPr="005F1112">
        <w:rPr>
          <w:rFonts w:ascii="宋体" w:hAnsi="宋体" w:cs="Arial" w:hint="eastAsia"/>
          <w:kern w:val="0"/>
          <w:sz w:val="24"/>
        </w:rPr>
        <w:t>创新驱动</w:t>
      </w:r>
      <w:r w:rsidRPr="005F1112">
        <w:rPr>
          <w:rFonts w:ascii="宋体" w:hAnsi="宋体" w:cs="Arial" w:hint="eastAsia"/>
          <w:kern w:val="0"/>
          <w:sz w:val="24"/>
        </w:rPr>
        <w:t>灵活配置混合型证券投资基金的基金管理人和基金托管人之间的权利义务关系，特制订本托管协议；</w:t>
      </w:r>
    </w:p>
    <w:p w14:paraId="29F1F351" w14:textId="30993199" w:rsidR="004049CF" w:rsidRPr="005F1112" w:rsidRDefault="004049CF" w:rsidP="004049CF">
      <w:pPr>
        <w:widowControl/>
        <w:adjustRightInd w:val="0"/>
        <w:snapToGrid w:val="0"/>
        <w:spacing w:line="360" w:lineRule="auto"/>
        <w:ind w:firstLineChars="200" w:firstLine="480"/>
        <w:rPr>
          <w:rFonts w:ascii="宋体" w:hAnsi="宋体" w:cs="Arial"/>
          <w:kern w:val="0"/>
          <w:sz w:val="24"/>
          <w:lang w:val="en-GB"/>
        </w:rPr>
      </w:pPr>
      <w:r w:rsidRPr="005F1112">
        <w:rPr>
          <w:rFonts w:ascii="宋体" w:hAnsi="宋体" w:cs="Arial" w:hint="eastAsia"/>
          <w:kern w:val="0"/>
          <w:sz w:val="24"/>
          <w:lang w:val="en-GB"/>
        </w:rPr>
        <w:t>除非另有约定，《</w:t>
      </w:r>
      <w:r w:rsidRPr="005F1112">
        <w:rPr>
          <w:rFonts w:ascii="宋体" w:hAnsi="宋体" w:cs="Arial" w:hint="eastAsia"/>
          <w:kern w:val="0"/>
          <w:sz w:val="24"/>
        </w:rPr>
        <w:t>长盛</w:t>
      </w:r>
      <w:r w:rsidR="008015A4" w:rsidRPr="005F1112">
        <w:rPr>
          <w:rFonts w:ascii="宋体" w:hAnsi="宋体" w:cs="Arial" w:hint="eastAsia"/>
          <w:kern w:val="0"/>
          <w:sz w:val="24"/>
        </w:rPr>
        <w:t>创新驱动</w:t>
      </w:r>
      <w:r w:rsidRPr="005F1112">
        <w:rPr>
          <w:rFonts w:ascii="宋体" w:hAnsi="宋体" w:cs="Arial" w:hint="eastAsia"/>
          <w:kern w:val="0"/>
          <w:sz w:val="24"/>
        </w:rPr>
        <w:t>灵活配置混合型</w:t>
      </w:r>
      <w:r w:rsidRPr="005F1112">
        <w:rPr>
          <w:rFonts w:ascii="宋体" w:hAnsi="宋体" w:cs="Arial" w:hint="eastAsia"/>
          <w:kern w:val="0"/>
          <w:sz w:val="24"/>
          <w:lang w:val="en-GB"/>
        </w:rPr>
        <w:t>证券投资基金基金合同》(以下简称“《基金合同》”)中定义的术语在用于本托管协议时应具有相同的含义；若有抵触应以《基金合同》为准，并依其</w:t>
      </w:r>
      <w:r w:rsidRPr="005F1112">
        <w:rPr>
          <w:rFonts w:ascii="宋体" w:hAnsi="宋体" w:cs="Arial" w:hint="eastAsia"/>
          <w:kern w:val="0"/>
          <w:sz w:val="24"/>
        </w:rPr>
        <w:t>条款</w:t>
      </w:r>
      <w:r w:rsidRPr="005F1112">
        <w:rPr>
          <w:rFonts w:ascii="宋体" w:hAnsi="宋体" w:cs="Arial" w:hint="eastAsia"/>
          <w:kern w:val="0"/>
          <w:sz w:val="24"/>
          <w:lang w:val="en-GB"/>
        </w:rPr>
        <w:t>解释。</w:t>
      </w:r>
    </w:p>
    <w:p w14:paraId="42102B9D"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2" w:name="_Toc124325885"/>
      <w:r w:rsidRPr="005F1112">
        <w:rPr>
          <w:rFonts w:ascii="宋体" w:hAnsi="宋体" w:hint="eastAsia"/>
          <w:sz w:val="30"/>
          <w:szCs w:val="30"/>
        </w:rPr>
        <w:t>一、基金托管协议当事人</w:t>
      </w:r>
      <w:bookmarkEnd w:id="2"/>
    </w:p>
    <w:p w14:paraId="016600E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w:t>
      </w:r>
    </w:p>
    <w:p w14:paraId="413E44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名称：长盛基金管理有限公司</w:t>
      </w:r>
    </w:p>
    <w:p w14:paraId="0CCC9E3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注册地址：深圳市福田中心区福中三路诺德金融中心主楼10D</w:t>
      </w:r>
    </w:p>
    <w:p w14:paraId="20DEA94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办公地址：北京市海淀区北太平庄路18号城建大厦A座21层</w:t>
      </w:r>
    </w:p>
    <w:p w14:paraId="1910E7F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邮政编码：100088</w:t>
      </w:r>
    </w:p>
    <w:p w14:paraId="389F4958" w14:textId="77976924"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法定代表人：</w:t>
      </w:r>
      <w:r w:rsidR="0043175D" w:rsidRPr="005F1112">
        <w:rPr>
          <w:rFonts w:ascii="宋体" w:hAnsi="宋体" w:cs="Arial" w:hint="eastAsia"/>
          <w:kern w:val="0"/>
          <w:sz w:val="24"/>
        </w:rPr>
        <w:t>周兵</w:t>
      </w:r>
    </w:p>
    <w:p w14:paraId="51CD764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成立日期：1999</w:t>
      </w:r>
      <w:r w:rsidRPr="005F1112">
        <w:rPr>
          <w:rFonts w:hint="eastAsia"/>
          <w:kern w:val="0"/>
        </w:rPr>
        <w:t>年</w:t>
      </w:r>
      <w:r w:rsidRPr="005F1112">
        <w:rPr>
          <w:rFonts w:ascii="宋体" w:hAnsi="宋体" w:cs="Arial" w:hint="eastAsia"/>
          <w:kern w:val="0"/>
          <w:sz w:val="24"/>
        </w:rPr>
        <w:t>3</w:t>
      </w:r>
      <w:r w:rsidRPr="005F1112">
        <w:rPr>
          <w:rFonts w:hint="eastAsia"/>
          <w:kern w:val="0"/>
        </w:rPr>
        <w:t>月</w:t>
      </w:r>
      <w:r w:rsidRPr="005F1112">
        <w:rPr>
          <w:rFonts w:ascii="宋体" w:hAnsi="宋体" w:cs="Arial" w:hint="eastAsia"/>
          <w:kern w:val="0"/>
          <w:sz w:val="24"/>
        </w:rPr>
        <w:t>26</w:t>
      </w:r>
      <w:r w:rsidRPr="005F1112">
        <w:rPr>
          <w:rFonts w:hint="eastAsia"/>
          <w:kern w:val="0"/>
        </w:rPr>
        <w:t>日</w:t>
      </w:r>
    </w:p>
    <w:p w14:paraId="5240772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批准设立机关及批准设立文号：中国证券监督管理委员会证监基金字【1999】6号</w:t>
      </w:r>
    </w:p>
    <w:p w14:paraId="0E283E2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组织形式：有限责任公司（中外合资）</w:t>
      </w:r>
    </w:p>
    <w:p w14:paraId="38E54B5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注册资本：人民币壹亿捌仟玖佰万元整</w:t>
      </w:r>
    </w:p>
    <w:p w14:paraId="4F88150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存续期间：持续经营</w:t>
      </w:r>
    </w:p>
    <w:p w14:paraId="329BB8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经营范围：基金募集、基金销售、特定客户资产管理、资产管理和中国证监会许可的其他业务</w:t>
      </w:r>
    </w:p>
    <w:p w14:paraId="1AF7B7F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（二）基金托管人</w:t>
      </w:r>
    </w:p>
    <w:p w14:paraId="2C58E38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名称：中国建设银行股份有限公司(简称：中国建设银行)</w:t>
      </w:r>
    </w:p>
    <w:p w14:paraId="691DB4B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住所：北京市西城区金融大街25号</w:t>
      </w:r>
    </w:p>
    <w:p w14:paraId="33AAC84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办公地址：北京市西城区闹市口大街1号院1号楼</w:t>
      </w:r>
    </w:p>
    <w:p w14:paraId="39D2A9B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邮政编码：100033</w:t>
      </w:r>
    </w:p>
    <w:p w14:paraId="61C6458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法定代表人：王洪章</w:t>
      </w:r>
    </w:p>
    <w:p w14:paraId="0E65F05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成立日期：2004年09月17日</w:t>
      </w:r>
    </w:p>
    <w:p w14:paraId="77C0DD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基金托管业务批准文号：中国证监会证监基字[1998</w:t>
      </w:r>
      <w:bookmarkStart w:id="3" w:name="OLE_LINK3"/>
      <w:r w:rsidRPr="005F1112">
        <w:rPr>
          <w:rFonts w:ascii="宋体" w:hAnsi="宋体" w:cs="Arial" w:hint="eastAsia"/>
          <w:kern w:val="0"/>
          <w:sz w:val="24"/>
        </w:rPr>
        <w:t>]</w:t>
      </w:r>
      <w:bookmarkEnd w:id="3"/>
      <w:r w:rsidRPr="005F1112">
        <w:rPr>
          <w:rFonts w:ascii="宋体" w:hAnsi="宋体" w:cs="Arial" w:hint="eastAsia"/>
          <w:kern w:val="0"/>
          <w:sz w:val="24"/>
        </w:rPr>
        <w:t>12号</w:t>
      </w:r>
    </w:p>
    <w:p w14:paraId="3CF4657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组织形式：股份有限公司</w:t>
      </w:r>
    </w:p>
    <w:p w14:paraId="06E6880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注册资本：贰仟伍佰亿壹仟零玖拾柒万柒仟肆佰捌拾陆元整</w:t>
      </w:r>
    </w:p>
    <w:p w14:paraId="54FDA55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存续期间：持续经营</w:t>
      </w:r>
    </w:p>
    <w:p w14:paraId="21BE212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1609ACE2"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4" w:name="_Toc124325886"/>
      <w:r w:rsidRPr="005F1112">
        <w:rPr>
          <w:rFonts w:ascii="宋体" w:hAnsi="宋体" w:hint="eastAsia"/>
          <w:sz w:val="30"/>
          <w:szCs w:val="30"/>
        </w:rPr>
        <w:t>二、基金托管协议的依据、目的和原则</w:t>
      </w:r>
      <w:bookmarkEnd w:id="4"/>
    </w:p>
    <w:p w14:paraId="0C3A0EE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（一）订立托管协议的依据</w:t>
      </w:r>
    </w:p>
    <w:p w14:paraId="2A5B761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本协议依据《中华人民共和国证券投资基金法》(以下简称“《基金法》”)等有关法律法规、《基金合同》及其他有关规定制订。</w:t>
      </w:r>
    </w:p>
    <w:p w14:paraId="11CEEC1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（二）订立托管协议的目的</w:t>
      </w:r>
    </w:p>
    <w:p w14:paraId="4A44C32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AFF152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（三）订立托管协议的原则</w:t>
      </w:r>
    </w:p>
    <w:p w14:paraId="36DBEB5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基金管理人和基金托管人本着平等自愿、诚实信用、充分保护基金份额持有人合法权益的原则，经协商一致，签订本协议。</w:t>
      </w:r>
    </w:p>
    <w:p w14:paraId="2DE01E7B"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5" w:name="_Toc124325887"/>
      <w:r w:rsidRPr="005F1112">
        <w:rPr>
          <w:rFonts w:ascii="宋体" w:hAnsi="宋体" w:hint="eastAsia"/>
          <w:sz w:val="30"/>
          <w:szCs w:val="30"/>
        </w:rPr>
        <w:lastRenderedPageBreak/>
        <w:t>三、基金托管人对基金管理人的业务监督和核查</w:t>
      </w:r>
      <w:bookmarkEnd w:id="5"/>
    </w:p>
    <w:p w14:paraId="09FE1F2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14:paraId="74FE56DC" w14:textId="0BBB3B1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的投资范围为具有良好流动性的金融工具，包括国内依法发行上市的股票（包括中小板、创业板及其他经中国证监会核准上市的股票）、债券（国债、金融债、企业债、公司债、次级债、可转换债券（含分离交易可转债）、可交换债券、央行票据、短期融资券、超短期融资券、中期票据、中小企业私募债等）、权证、股指期货、国债期货、</w:t>
      </w:r>
      <w:r w:rsidR="002463A4" w:rsidRPr="005F1112">
        <w:rPr>
          <w:rFonts w:ascii="宋体" w:hAnsi="宋体" w:cs="Arial" w:hint="eastAsia"/>
          <w:kern w:val="0"/>
          <w:sz w:val="24"/>
        </w:rPr>
        <w:t>债券回购、</w:t>
      </w:r>
      <w:r w:rsidRPr="005F1112">
        <w:rPr>
          <w:rFonts w:ascii="宋体" w:hAnsi="宋体" w:cs="Arial" w:hint="eastAsia"/>
          <w:kern w:val="0"/>
          <w:sz w:val="24"/>
        </w:rPr>
        <w:t>货币市场工具、同业存单、银行存款、资产支持证券以及法律法规或中国证监会允许基金投资的其他金融工具（但须符合中国证监会相关规定）。如法律法规或监管机构以后允许基金投资的其他品种，基金管理人在履行适当程序后，可以将其纳入投资范围。</w:t>
      </w:r>
    </w:p>
    <w:p w14:paraId="5C57367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（二）基金托管人根据有关法律法规的规定及《基金合同》的约定，对基金投资、融资比例进行监督。基金托管人按下述比例和调整期限进行监督：</w:t>
      </w:r>
    </w:p>
    <w:p w14:paraId="18D29AA7" w14:textId="0CB0915F"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1.本基金的股票投资占基金资产的比例为0%-95%</w:t>
      </w:r>
      <w:r w:rsidR="00844496" w:rsidRPr="005F1112">
        <w:rPr>
          <w:rFonts w:ascii="宋体" w:hAnsi="宋体" w:cs="Arial" w:hint="eastAsia"/>
          <w:kern w:val="0"/>
          <w:sz w:val="24"/>
        </w:rPr>
        <w:t>，其中投资于创新驱动型上市公司的证券不低于本基金非现金资产的80%</w:t>
      </w:r>
      <w:r w:rsidR="0084358D" w:rsidRPr="005F1112">
        <w:rPr>
          <w:rFonts w:hint="eastAsia"/>
          <w:bCs/>
          <w:sz w:val="24"/>
        </w:rPr>
        <w:t>；</w:t>
      </w:r>
    </w:p>
    <w:p w14:paraId="6283BD73" w14:textId="757C35FF"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 xml:space="preserve">2.本基金每个交易日日终在扣除股指期货合约、国债期货合约需缴纳的交易保证金后，现金或到期日在一年以内的政府债券的投资比例不低于基金资产净值的5%； </w:t>
      </w:r>
    </w:p>
    <w:p w14:paraId="7307DB3C" w14:textId="39307285"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3.本基金持有一家公司发行的证券，其市值不超过基金资产净值的10</w:t>
      </w:r>
      <w:r w:rsidR="00C85514" w:rsidRPr="005F1112">
        <w:rPr>
          <w:rFonts w:ascii="宋体" w:hAnsi="宋体" w:cs="Arial" w:hint="eastAsia"/>
          <w:kern w:val="0"/>
          <w:sz w:val="24"/>
        </w:rPr>
        <w:t>%</w:t>
      </w:r>
      <w:r w:rsidRPr="005F1112">
        <w:rPr>
          <w:rFonts w:ascii="宋体" w:hAnsi="宋体" w:cs="Arial" w:hint="eastAsia"/>
          <w:kern w:val="0"/>
          <w:sz w:val="24"/>
        </w:rPr>
        <w:t>；</w:t>
      </w:r>
    </w:p>
    <w:p w14:paraId="0F7293AC" w14:textId="12A62DF6"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4.本基金持有的全部权证，其市值不得超过基金资产净值的3</w:t>
      </w:r>
      <w:r w:rsidR="00C85514" w:rsidRPr="005F1112">
        <w:rPr>
          <w:rFonts w:ascii="宋体" w:hAnsi="宋体" w:cs="Arial" w:hint="eastAsia"/>
          <w:kern w:val="0"/>
          <w:sz w:val="24"/>
        </w:rPr>
        <w:t>%</w:t>
      </w:r>
      <w:r w:rsidRPr="005F1112">
        <w:rPr>
          <w:rFonts w:ascii="宋体" w:hAnsi="宋体" w:cs="Arial" w:hint="eastAsia"/>
          <w:kern w:val="0"/>
          <w:sz w:val="24"/>
        </w:rPr>
        <w:t>；</w:t>
      </w:r>
    </w:p>
    <w:p w14:paraId="3997DF2A" w14:textId="0C3E0173"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5.本基金在任何交易日买入权证的总金额，不得超过上一交易日基金资产净值的0.5</w:t>
      </w:r>
      <w:r w:rsidR="00C85514" w:rsidRPr="005F1112">
        <w:rPr>
          <w:rFonts w:ascii="宋体" w:hAnsi="宋体" w:cs="Arial" w:hint="eastAsia"/>
          <w:kern w:val="0"/>
          <w:sz w:val="24"/>
        </w:rPr>
        <w:t>%</w:t>
      </w:r>
      <w:r w:rsidRPr="005F1112">
        <w:rPr>
          <w:rFonts w:ascii="宋体" w:hAnsi="宋体" w:cs="Arial" w:hint="eastAsia"/>
          <w:kern w:val="0"/>
          <w:sz w:val="24"/>
        </w:rPr>
        <w:t>；</w:t>
      </w:r>
    </w:p>
    <w:p w14:paraId="12591225" w14:textId="41CA4C6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6.本基金投资于同一原始权益人的各类资产支持证券的比例，不得超过基金资产净值的10</w:t>
      </w:r>
      <w:r w:rsidR="00C85514" w:rsidRPr="005F1112">
        <w:rPr>
          <w:rFonts w:ascii="宋体" w:hAnsi="宋体" w:cs="Arial" w:hint="eastAsia"/>
          <w:kern w:val="0"/>
          <w:sz w:val="24"/>
        </w:rPr>
        <w:t>%</w:t>
      </w:r>
      <w:r w:rsidRPr="005F1112">
        <w:rPr>
          <w:rFonts w:ascii="宋体" w:hAnsi="宋体" w:cs="Arial" w:hint="eastAsia"/>
          <w:kern w:val="0"/>
          <w:sz w:val="24"/>
        </w:rPr>
        <w:t>；</w:t>
      </w:r>
    </w:p>
    <w:p w14:paraId="7E19DEA5" w14:textId="08E1EB08"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7.本基金持有的全部资产支持证券，其市值不得超过基金资产净值的20</w:t>
      </w:r>
      <w:r w:rsidR="00C85514" w:rsidRPr="005F1112">
        <w:rPr>
          <w:rFonts w:ascii="宋体" w:hAnsi="宋体" w:cs="Arial" w:hint="eastAsia"/>
          <w:kern w:val="0"/>
          <w:sz w:val="24"/>
        </w:rPr>
        <w:t>%</w:t>
      </w:r>
      <w:r w:rsidRPr="005F1112">
        <w:rPr>
          <w:rFonts w:ascii="宋体" w:hAnsi="宋体" w:cs="Arial" w:hint="eastAsia"/>
          <w:kern w:val="0"/>
          <w:sz w:val="24"/>
        </w:rPr>
        <w:t>；</w:t>
      </w:r>
    </w:p>
    <w:p w14:paraId="417F4B8A" w14:textId="090C6582"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8.本基金持有的同一（指同一信用级别）资产支持证券的比例，不得超过该资产支持证券规模的10</w:t>
      </w:r>
      <w:r w:rsidR="00C85514" w:rsidRPr="005F1112">
        <w:rPr>
          <w:rFonts w:ascii="宋体" w:hAnsi="宋体" w:cs="Arial" w:hint="eastAsia"/>
          <w:kern w:val="0"/>
          <w:sz w:val="24"/>
        </w:rPr>
        <w:t>%</w:t>
      </w:r>
      <w:r w:rsidRPr="005F1112">
        <w:rPr>
          <w:rFonts w:ascii="宋体" w:hAnsi="宋体" w:cs="Arial" w:hint="eastAsia"/>
          <w:kern w:val="0"/>
          <w:sz w:val="24"/>
        </w:rPr>
        <w:t>；</w:t>
      </w:r>
    </w:p>
    <w:p w14:paraId="4B81C0AD" w14:textId="7777777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9.本基金应投资于信用级别评级为BBB以上(含BBB)的资产支持证券。基金持有资产支持证券期间，如果其信用等级下降、不再符合投资标准，应在评级报告发布之日起3个月内予以全部卖出；</w:t>
      </w:r>
    </w:p>
    <w:p w14:paraId="4BC99AFE" w14:textId="7777777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10.基金财产参与股票发行申购，本基金所申报的金额不超过本基金的总资产，本基金所申报的股票数量不超过拟发行股票公司本次发行股票的总量；</w:t>
      </w:r>
    </w:p>
    <w:p w14:paraId="104BDC91" w14:textId="3B9ECEFE"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11.本基金进入全国银行间同业市场进行债券回购的资金余额不得超过基金资产净值的40%，债券回购最长期限为1年，债券回购到期后不得展期；</w:t>
      </w:r>
    </w:p>
    <w:p w14:paraId="4959556E" w14:textId="7777777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12.本基金持有单只中小企业私募债券，其市值不得超过基金资产净值的10%；</w:t>
      </w:r>
    </w:p>
    <w:p w14:paraId="65B7B997" w14:textId="525D27B6"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13.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权证、资产支持证券、买入返售金融资产（不含质押式回购）等；在任何交易日日终，持有的卖出期货合约价值不得超过基金持有的股票总市值的20%；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5457B04B" w14:textId="6449B641"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14.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w:t>
      </w:r>
      <w:r w:rsidR="0066109D" w:rsidRPr="005F1112" w:rsidDel="0066109D">
        <w:rPr>
          <w:rFonts w:ascii="宋体" w:hAnsi="宋体" w:cs="Arial" w:hint="eastAsia"/>
          <w:kern w:val="0"/>
          <w:sz w:val="24"/>
        </w:rPr>
        <w:t xml:space="preserve"> </w:t>
      </w:r>
    </w:p>
    <w:p w14:paraId="4313104D" w14:textId="77777777"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15.</w:t>
      </w:r>
      <w:r w:rsidRPr="005F1112">
        <w:rPr>
          <w:rFonts w:hint="eastAsia"/>
        </w:rPr>
        <w:t xml:space="preserve"> </w:t>
      </w:r>
      <w:r w:rsidRPr="005F1112">
        <w:rPr>
          <w:rFonts w:ascii="宋体" w:hAnsi="宋体" w:cs="Arial" w:hint="eastAsia"/>
          <w:kern w:val="0"/>
          <w:sz w:val="24"/>
        </w:rPr>
        <w:t>本基金在开始进行股指期货投资之前，应与基金托管人、期货公司三方一同就股指期货开户、清算、估值、交收等事宜另行签署协议《期货投资托管操作三方备忘录》。</w:t>
      </w:r>
    </w:p>
    <w:p w14:paraId="3F3F3BB3" w14:textId="7AE1BFF0"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16.本基金总资产不得超过基金净资产的</w:t>
      </w:r>
      <w:r w:rsidR="00167332" w:rsidRPr="005F1112">
        <w:rPr>
          <w:rFonts w:ascii="宋体" w:hAnsi="宋体" w:cs="Arial" w:hint="eastAsia"/>
          <w:kern w:val="0"/>
          <w:sz w:val="24"/>
        </w:rPr>
        <w:t>140%</w:t>
      </w:r>
      <w:r w:rsidRPr="005F1112">
        <w:rPr>
          <w:rFonts w:ascii="宋体" w:hAnsi="宋体" w:cs="Arial" w:hint="eastAsia"/>
          <w:kern w:val="0"/>
          <w:sz w:val="24"/>
        </w:rPr>
        <w:t>；</w:t>
      </w:r>
    </w:p>
    <w:p w14:paraId="37BE6C0C" w14:textId="2F2C7005"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17.本基金持有的所有流通受限证券，其公允价值不得超过本基金资产净值的20%；本基金持有的同一流通受限证券，其公允价值不得超过本基金资产净值的10%；</w:t>
      </w:r>
    </w:p>
    <w:p w14:paraId="1F43D1DE" w14:textId="56D23C78" w:rsidR="008015A4"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18.法律法规及中国证监会规定的其他投资比例限制。</w:t>
      </w:r>
    </w:p>
    <w:p w14:paraId="07D6EC6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如果法律法规对上述投资组合比例限制进行变更的，以变更后的规定为准。法律法规或监管部门取消上述限制，如适用于本基金，则本基金投资不再受相关限制，但须提前公告，不需要经基金份额持有人大会审议。如本基金增加投资品种，投资限制以法律法规和中国证监会的规定为准。</w:t>
      </w:r>
    </w:p>
    <w:p w14:paraId="5B37A1C0" w14:textId="5810F7E9" w:rsidR="004049CF" w:rsidRPr="005F1112" w:rsidRDefault="008015A4"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除上述第9项外，</w:t>
      </w:r>
      <w:r w:rsidR="004049CF" w:rsidRPr="005F1112">
        <w:rPr>
          <w:rFonts w:ascii="宋体" w:hAnsi="宋体" w:cs="Arial" w:hint="eastAsia"/>
          <w:kern w:val="0"/>
          <w:sz w:val="24"/>
        </w:rPr>
        <w:t>因证券市场波动、期货市场波动、上市公司合并、基金规模变动等基金管理人之外的因素致使基金投资比例不符合上述规定投资比例的，基金管理人应当在10个交易日内进行调整，但中国证监会规定的特殊情形除外。</w:t>
      </w:r>
    </w:p>
    <w:p w14:paraId="0045326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当自基金合同生效之日起六个月内使基金的投资组合比例符合基金合同的有关约定。在上述期间内，本基金的投资范围、投资策略应当符合基金合同的约定。基金托管人对基金的投资的监督与检查自本基金合同生效之日起开始。</w:t>
      </w:r>
    </w:p>
    <w:p w14:paraId="79AB18E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（三）基金托管人</w:t>
      </w:r>
      <w:bookmarkStart w:id="6" w:name="OLE_LINK1"/>
      <w:r w:rsidRPr="005F1112">
        <w:rPr>
          <w:rFonts w:ascii="宋体" w:hAnsi="宋体" w:cs="Arial" w:hint="eastAsia"/>
          <w:kern w:val="0"/>
          <w:sz w:val="24"/>
        </w:rPr>
        <w:t>根据有关法律法规的规定及《基金合同》的约定，</w:t>
      </w:r>
      <w:bookmarkEnd w:id="6"/>
      <w:r w:rsidRPr="005F1112">
        <w:rPr>
          <w:rFonts w:ascii="宋体" w:hAnsi="宋体" w:cs="Arial" w:hint="eastAsia"/>
          <w:kern w:val="0"/>
          <w:sz w:val="24"/>
        </w:rPr>
        <w:t>对本托管协议第十五条第九款基金投资禁止行为通过事后监督方式进行监督。</w:t>
      </w:r>
    </w:p>
    <w:p w14:paraId="33E6D89E" w14:textId="77777777" w:rsidR="004049CF" w:rsidRPr="005F1112" w:rsidRDefault="004049CF" w:rsidP="002B69A2">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14:paraId="3A10FBF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14:paraId="389E1E8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基金管理人负责对交易对手的资信控制，按银行间债券市场的交易规则进行交易，并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14:paraId="2505C99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（五）基金托管人根据有关法律法规的规定及《基金合同》的约定，对基金管理人投资流通受限证券进行监督。</w:t>
      </w:r>
    </w:p>
    <w:p w14:paraId="6A1316D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7961364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216B8C9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本基金投资的流通受限证券限于可由中国证券登记结算有限责任公司或中央国债登记结算有限责任公司负责登记和存管，并可在证券交易所或全国银行间债券市场交易的证券。</w:t>
      </w:r>
    </w:p>
    <w:p w14:paraId="35FD7E6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58E737C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本基金投资流通受限证券，不得预付任何形式的保证金。</w:t>
      </w:r>
    </w:p>
    <w:p w14:paraId="395442A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w:t>
      </w:r>
      <w:r w:rsidRPr="005F1112">
        <w:rPr>
          <w:rFonts w:ascii="宋体" w:hAnsi="宋体" w:cs="Arial" w:hint="eastAsia"/>
          <w:kern w:val="0"/>
          <w:sz w:val="24"/>
        </w:rPr>
        <w:lastRenderedPageBreak/>
        <w:t>况的处置。基金管理人应在首次投资流通受限证券前向基金托管人提供基金投资非公开发行股票相关流动性风险处置预案。</w:t>
      </w:r>
    </w:p>
    <w:p w14:paraId="708F088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3A47959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6742744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（1）中国证监会批准发行非公开发行股票的批准文件。</w:t>
      </w:r>
    </w:p>
    <w:p w14:paraId="7B73D15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（2）非公开发行股票有关发行数量、发行价格、锁定期等发行资料。</w:t>
      </w:r>
    </w:p>
    <w:p w14:paraId="2533A32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（3）非公开发行股票发行人与中国证券登记结算有限责任公司或中央国债登记结算有限责任公司签订的证券登记及服务协议。</w:t>
      </w:r>
    </w:p>
    <w:p w14:paraId="49068B7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（4）基金拟认购的数量、价格、总成本、账面价值。</w:t>
      </w:r>
    </w:p>
    <w:p w14:paraId="1B2264CD" w14:textId="6E712381"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4.基金管理人应在本基金投资非公开发行股票后两个交易日内，在中国证监会指定媒</w:t>
      </w:r>
      <w:r w:rsidR="00DA4436" w:rsidRPr="005F1112">
        <w:rPr>
          <w:rFonts w:ascii="宋体" w:hAnsi="宋体" w:cs="Arial" w:hint="eastAsia"/>
          <w:kern w:val="0"/>
          <w:sz w:val="24"/>
        </w:rPr>
        <w:t>介</w:t>
      </w:r>
      <w:r w:rsidRPr="005F1112">
        <w:rPr>
          <w:rFonts w:ascii="宋体" w:hAnsi="宋体" w:cs="Arial" w:hint="eastAsia"/>
          <w:kern w:val="0"/>
          <w:sz w:val="24"/>
        </w:rPr>
        <w:t>披露所投资非公开发行股票的名称、数量、总成本、账面价值，以及总成本和账面价值占基金资产净值的比例、锁定期等信息。</w:t>
      </w:r>
    </w:p>
    <w:p w14:paraId="1181C1E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本基金有关投资流通受限证券比例如违反有关限制规定，在合理期限内未能进行及时调整，基金管理人应在两个工作日内编制临时报告书，予以公告。</w:t>
      </w:r>
    </w:p>
    <w:p w14:paraId="39F85B9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5.基金托管人根据有关规定有权对基金管理人进行以下事项监督：</w:t>
      </w:r>
    </w:p>
    <w:p w14:paraId="07DE6AD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（1）本基金投资流通受限证券时的法律法规遵守情况。</w:t>
      </w:r>
    </w:p>
    <w:p w14:paraId="7AB4F89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（2）在基金投资流通受限证券管理工作方面有关制度、流动性风险处置预案的建立与完善情况。</w:t>
      </w:r>
    </w:p>
    <w:p w14:paraId="0BB2A8A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（3）有关比例限制的执行情况。</w:t>
      </w:r>
    </w:p>
    <w:p w14:paraId="5FFDE89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（4）信息披露情况。</w:t>
      </w:r>
    </w:p>
    <w:p w14:paraId="2AD19AD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6.相关法律法规对基金投资流通受限证券有新规定的，从其规定。</w:t>
      </w:r>
    </w:p>
    <w:p w14:paraId="462EE33B" w14:textId="1E038601" w:rsidR="00222E6C" w:rsidRPr="005F1112" w:rsidRDefault="00222E6C" w:rsidP="00D71982">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（六）基金投资中小企业私募债券，基金管理人应根据审慎原则，制定严格的投资决策流程、风险控制制度和信用风险、流动性风险处置预案，并经董事会批准，以防范信用风险、流动性风险等各种风险。</w:t>
      </w:r>
    </w:p>
    <w:p w14:paraId="0FD02B33" w14:textId="5C1FD704" w:rsidR="00222E6C" w:rsidRPr="005F1112" w:rsidRDefault="00222E6C" w:rsidP="00D71982">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对基金投资中小企业私募债券是否符合比例限制进行事后监督，如发现异常情况，应及时以书面形式通知基金管理人。基金管理人应积极配合和协助乙方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p>
    <w:p w14:paraId="4015F20F" w14:textId="77777777" w:rsidR="004049CF" w:rsidRPr="005F1112" w:rsidRDefault="00222E6C"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（七</w:t>
      </w:r>
      <w:r w:rsidR="004049CF" w:rsidRPr="005F1112">
        <w:rPr>
          <w:rFonts w:ascii="宋体" w:hAnsi="宋体" w:cs="Arial" w:hint="eastAsia"/>
          <w:kern w:val="0"/>
          <w:sz w:val="24"/>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24F3FB93" w14:textId="08389E79"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w:t>
      </w:r>
      <w:r w:rsidR="004E1E46" w:rsidRPr="005F1112">
        <w:rPr>
          <w:rFonts w:ascii="宋体" w:hAnsi="宋体" w:cs="Arial" w:hint="eastAsia"/>
          <w:kern w:val="0"/>
          <w:sz w:val="24"/>
        </w:rPr>
        <w:t>八</w:t>
      </w:r>
      <w:r w:rsidRPr="005F1112">
        <w:rPr>
          <w:rFonts w:ascii="宋体" w:hAnsi="宋体" w:cs="Arial" w:hint="eastAsia"/>
          <w:kern w:val="0"/>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3F06ECE0" w14:textId="7F242DB8"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w:t>
      </w:r>
      <w:r w:rsidR="004E1E46" w:rsidRPr="005F1112">
        <w:rPr>
          <w:rFonts w:ascii="宋体" w:hAnsi="宋体" w:cs="Arial" w:hint="eastAsia"/>
          <w:kern w:val="0"/>
          <w:sz w:val="24"/>
        </w:rPr>
        <w:t>九</w:t>
      </w:r>
      <w:r w:rsidRPr="005F1112">
        <w:rPr>
          <w:rFonts w:ascii="宋体" w:hAnsi="宋体" w:cs="Arial" w:hint="eastAsia"/>
          <w:kern w:val="0"/>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07BA293E" w14:textId="29FADAAA"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w:t>
      </w:r>
      <w:r w:rsidR="004E1E46" w:rsidRPr="005F1112">
        <w:rPr>
          <w:rFonts w:ascii="宋体" w:hAnsi="宋体" w:cs="Arial" w:hint="eastAsia"/>
          <w:kern w:val="0"/>
          <w:sz w:val="24"/>
        </w:rPr>
        <w:t>十</w:t>
      </w:r>
      <w:r w:rsidRPr="005F1112">
        <w:rPr>
          <w:rFonts w:ascii="宋体" w:hAnsi="宋体" w:cs="Arial" w:hint="eastAsia"/>
          <w:kern w:val="0"/>
          <w:sz w:val="24"/>
        </w:rPr>
        <w:t>）若基金托管人发现基金管理人依据交易程序已经生效的指令违反法律、行政法规和其他有关规定，或者违反《基金合同》约定的，应当立即通知基金管理人，由此造成的损失由基金管理人承担。</w:t>
      </w:r>
    </w:p>
    <w:p w14:paraId="0BCCD72A" w14:textId="17A3781D"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w:t>
      </w:r>
      <w:r w:rsidR="004E1E46" w:rsidRPr="005F1112">
        <w:rPr>
          <w:rFonts w:ascii="宋体" w:hAnsi="宋体" w:cs="Arial" w:hint="eastAsia"/>
          <w:kern w:val="0"/>
          <w:sz w:val="24"/>
        </w:rPr>
        <w:t>十一</w:t>
      </w:r>
      <w:r w:rsidRPr="005F1112">
        <w:rPr>
          <w:rFonts w:ascii="宋体" w:hAnsi="宋体" w:cs="Arial" w:hint="eastAsia"/>
          <w:kern w:val="0"/>
          <w:sz w:val="24"/>
        </w:rPr>
        <w:t>）基金托管人发现基金管理人有重大违规行为，应及时报告中国证监会，同时通知基金管理人限期纠正，并将纠正结果报告中国证监会。基金管理人</w:t>
      </w:r>
      <w:r w:rsidRPr="005F1112">
        <w:rPr>
          <w:rFonts w:ascii="宋体" w:hAnsi="宋体" w:cs="Arial" w:hint="eastAsia"/>
          <w:kern w:val="0"/>
          <w:sz w:val="24"/>
        </w:rPr>
        <w:lastRenderedPageBreak/>
        <w:t>无正当理由，拒绝、阻挠对方根据本托管协议规定行使监督权，或采取拖延、欺诈等手段妨碍对方进行有效监督，情节严重或经基金托管人提出警告仍不改正的，基金托管人应报告中国证监会。</w:t>
      </w:r>
    </w:p>
    <w:p w14:paraId="4C671D1B"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7" w:name="_Toc86223242"/>
      <w:bookmarkStart w:id="8" w:name="_Toc86225291"/>
      <w:bookmarkStart w:id="9" w:name="_Toc86649722"/>
      <w:bookmarkStart w:id="10" w:name="_Toc86726439"/>
      <w:bookmarkStart w:id="11" w:name="_Toc86727355"/>
      <w:bookmarkStart w:id="12" w:name="_Toc86737929"/>
      <w:bookmarkStart w:id="13" w:name="_Toc89163368"/>
      <w:bookmarkStart w:id="14" w:name="_Toc108512358"/>
      <w:bookmarkStart w:id="15" w:name="_Toc110761796"/>
      <w:bookmarkStart w:id="16" w:name="_Toc110765660"/>
      <w:bookmarkStart w:id="17" w:name="_Toc110830492"/>
      <w:bookmarkStart w:id="18" w:name="_Toc118212950"/>
      <w:bookmarkStart w:id="19" w:name="_Toc118774803"/>
      <w:bookmarkStart w:id="20" w:name="_Toc118972648"/>
      <w:bookmarkStart w:id="21" w:name="_Toc119402710"/>
      <w:bookmarkStart w:id="22" w:name="_Toc120435783"/>
      <w:bookmarkStart w:id="23" w:name="_Toc124325888"/>
      <w:r w:rsidRPr="005F1112">
        <w:rPr>
          <w:rFonts w:ascii="宋体" w:hAnsi="宋体" w:hint="eastAsia"/>
          <w:sz w:val="30"/>
          <w:szCs w:val="30"/>
        </w:rPr>
        <w:t>四、基金管理人对基金托管人的业务核查</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AD46D2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14:paraId="326C2A9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由此造成的损失由基金托管人承担。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7AA9B56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5BA0D0C9"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24" w:name="_Toc84133786"/>
      <w:bookmarkStart w:id="25" w:name="_Toc84234388"/>
      <w:bookmarkStart w:id="26" w:name="_Toc84234435"/>
      <w:bookmarkStart w:id="27" w:name="_Toc86204789"/>
      <w:bookmarkStart w:id="28" w:name="_Toc86223243"/>
      <w:bookmarkStart w:id="29" w:name="_Toc86225292"/>
      <w:bookmarkStart w:id="30" w:name="_Toc86649723"/>
      <w:bookmarkStart w:id="31" w:name="_Toc86726440"/>
      <w:bookmarkStart w:id="32" w:name="_Toc86727356"/>
      <w:bookmarkStart w:id="33" w:name="_Toc86737930"/>
      <w:bookmarkStart w:id="34" w:name="_Toc89163369"/>
      <w:bookmarkStart w:id="35" w:name="_Toc108512359"/>
      <w:bookmarkStart w:id="36" w:name="_Toc110761797"/>
      <w:bookmarkStart w:id="37" w:name="_Toc110765661"/>
      <w:bookmarkStart w:id="38" w:name="_Toc110830493"/>
      <w:bookmarkStart w:id="39" w:name="_Toc118212951"/>
      <w:bookmarkStart w:id="40" w:name="_Toc118774804"/>
      <w:bookmarkStart w:id="41" w:name="_Toc118972649"/>
      <w:bookmarkStart w:id="42" w:name="_Toc119402711"/>
      <w:bookmarkStart w:id="43" w:name="_Toc120435784"/>
      <w:bookmarkStart w:id="44" w:name="_Toc124325889"/>
      <w:r w:rsidRPr="005F1112">
        <w:rPr>
          <w:rFonts w:ascii="宋体" w:hAnsi="宋体" w:hint="eastAsia"/>
          <w:sz w:val="30"/>
          <w:szCs w:val="30"/>
        </w:rPr>
        <w:t>五、基金财产的保管</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3769AD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（一）基金财产保管的原则</w:t>
      </w:r>
    </w:p>
    <w:p w14:paraId="381F128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1.基金财产应独立于基金管理人、基金托管人的固有财产。</w:t>
      </w:r>
    </w:p>
    <w:p w14:paraId="1B17B35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2.基金托管人应安全保管基金财产。</w:t>
      </w:r>
    </w:p>
    <w:p w14:paraId="7748F88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3.基金托管人按照规定开设基金财产的资金账户和证券账户。</w:t>
      </w:r>
    </w:p>
    <w:p w14:paraId="457476D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4.基金托管人对所托管的不同基金财产分别设置账户，确保基金财产的完整与独立。</w:t>
      </w:r>
    </w:p>
    <w:p w14:paraId="2000F24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14:paraId="5F5C2AA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6DDDD2E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7.除依据法律法规和《基金合同》的规定外，基金托管人不得委托第三人托管基金财产。</w:t>
      </w:r>
    </w:p>
    <w:p w14:paraId="71F0367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（二）基金募集期间及募集资金的验资</w:t>
      </w:r>
    </w:p>
    <w:p w14:paraId="2766519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1.基金募集期间募集的资金应存于基金管理人在基金托管人的营业机构开立的“基金募集专户”。该账户由基金管理人开立并管理。</w:t>
      </w:r>
    </w:p>
    <w:p w14:paraId="1B53F58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14:paraId="7EFF0B5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3.若基金募集期限届满，未能达到《基金合同》生效的条件，由基金管理人按规定办理退款等事宜。</w:t>
      </w:r>
    </w:p>
    <w:p w14:paraId="1962030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（三）基金银行账户的开立和管理</w:t>
      </w:r>
    </w:p>
    <w:p w14:paraId="601A42C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1.基金托管人可以基金的名义在其营业机构开立基金的银行账户，并根据基金管理人合法合规的指令办理资金收付。本基金的银行预留印鉴由基金托管人保管和使用。</w:t>
      </w:r>
    </w:p>
    <w:p w14:paraId="6A81EC4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2.基金银行账户的开立和使用，限于满足开展本基金业务的需要。基金托管人和基金管理人不得假借本基金的名义开立任何其他银行账户；亦不得使用基金的任何账户进行本基金业务以外的活动。</w:t>
      </w:r>
    </w:p>
    <w:p w14:paraId="1552E51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3.基金银行账户的开立和管理应符合银行业监督管理机构的有关规定。</w:t>
      </w:r>
    </w:p>
    <w:p w14:paraId="282AA5A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4.在符合法律法规规定的条件下，基金托管人可以通过基金托管人专用账户办理基金资产的支付。</w:t>
      </w:r>
    </w:p>
    <w:p w14:paraId="0720CCE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（四）基金证券账户和结算备付金账户的开立和管理</w:t>
      </w:r>
    </w:p>
    <w:p w14:paraId="1061BBB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1.基金托管人在中国证券登记结算有限责任公司为基金开立基金托管人与基金联名的证券账户。</w:t>
      </w:r>
    </w:p>
    <w:p w14:paraId="106A663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5CE041E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3.基金证券账户的开立和证券账户卡的保管由基金托管人负责，账户资产的管理和运用由基金管理人负责。</w:t>
      </w:r>
    </w:p>
    <w:p w14:paraId="224DAA7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证券账户开户费由本基金财产承担。此项开户费由基金管理人先行垫付</w:t>
      </w:r>
      <w:r w:rsidR="006F6C9B" w:rsidRPr="005F1112">
        <w:rPr>
          <w:rFonts w:ascii="宋体" w:hAnsi="宋体" w:cs="Arial" w:hint="eastAsia"/>
          <w:kern w:val="0"/>
          <w:sz w:val="24"/>
        </w:rPr>
        <w:t>，</w:t>
      </w:r>
      <w:r w:rsidRPr="005F1112">
        <w:rPr>
          <w:rFonts w:ascii="宋体" w:hAnsi="宋体" w:cs="Arial" w:hint="eastAsia"/>
          <w:kern w:val="0"/>
          <w:sz w:val="24"/>
        </w:rPr>
        <w:t>待托管产品启始运营后</w:t>
      </w:r>
      <w:r w:rsidR="006F6C9B" w:rsidRPr="005F1112">
        <w:rPr>
          <w:rFonts w:ascii="宋体" w:hAnsi="宋体" w:cs="Arial" w:hint="eastAsia"/>
          <w:kern w:val="0"/>
          <w:sz w:val="24"/>
        </w:rPr>
        <w:t>，</w:t>
      </w:r>
      <w:r w:rsidRPr="005F1112">
        <w:rPr>
          <w:rFonts w:ascii="宋体" w:hAnsi="宋体" w:cs="Arial" w:hint="eastAsia"/>
          <w:kern w:val="0"/>
          <w:sz w:val="24"/>
        </w:rPr>
        <w:t>基金管理人可向基金托管人发送划款指令</w:t>
      </w:r>
      <w:r w:rsidR="006F6C9B" w:rsidRPr="005F1112">
        <w:rPr>
          <w:rFonts w:ascii="宋体" w:hAnsi="宋体" w:cs="Arial" w:hint="eastAsia"/>
          <w:kern w:val="0"/>
          <w:sz w:val="24"/>
        </w:rPr>
        <w:t>，</w:t>
      </w:r>
      <w:r w:rsidRPr="005F1112">
        <w:rPr>
          <w:rFonts w:ascii="宋体" w:hAnsi="宋体" w:cs="Arial" w:hint="eastAsia"/>
          <w:kern w:val="0"/>
          <w:sz w:val="24"/>
        </w:rPr>
        <w:t>将代垫开户费从本产品托管资金账户中扣还基金管理人。账户开立后，基金托管人应及时将证券账户开通信息通知基金管理人。</w:t>
      </w:r>
    </w:p>
    <w:p w14:paraId="189165C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1CF984B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5.若中国证监会或其他监管机构在本托管协议订立日之后允许基金从事其他投资品种的投资业务，涉及相关账户的开立、使用的，若无相关规定，则基金托管人比照上述关于账户开立、使用的规定执行。</w:t>
      </w:r>
    </w:p>
    <w:p w14:paraId="2B66288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（五）债券托管专户的开设和管理</w:t>
      </w:r>
    </w:p>
    <w:p w14:paraId="092D325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w:t>
      </w:r>
      <w:r w:rsidRPr="005F1112">
        <w:rPr>
          <w:rFonts w:ascii="宋体" w:hAnsi="宋体" w:cs="Arial" w:hint="eastAsia"/>
          <w:kern w:val="0"/>
          <w:sz w:val="24"/>
        </w:rPr>
        <w:lastRenderedPageBreak/>
        <w:t>券托管账户，持有人账户和资金结算账户，并代表基金进行银行间市场债券的结算。基金管理人和基金托管人共同代表基金签订全国银行间债券市场债券回购主协议。</w:t>
      </w:r>
    </w:p>
    <w:p w14:paraId="25F0D3A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（六）其他账户的开立和管理</w:t>
      </w:r>
    </w:p>
    <w:p w14:paraId="22F563C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3B025BA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2.法律法规等有关规定对相关账户的开立和管理另有规定的，从其规定办理。</w:t>
      </w:r>
    </w:p>
    <w:p w14:paraId="6484027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（七）基金财产投资的有关有价凭证等的保管</w:t>
      </w:r>
    </w:p>
    <w:p w14:paraId="3760854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财产投资的有关实物证券、银行存款开户证实书等有价凭证由基金托管人存放于基金托管人的保管库，也可存入中央国债登记结算有限责任公司、中国证券登记结算有限责任公司上海分公司/深圳分公司/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14:paraId="0CE59EA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（八）与基金财产有关的重大合同的保管</w:t>
      </w:r>
    </w:p>
    <w:p w14:paraId="6005414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对于无法取得两份以上的正本的，基金管理人应向基金托管人提供加盖授权业务章的合同复印件，未经双方协商或未在合同约定范围内，合同原件不得转移。</w:t>
      </w:r>
    </w:p>
    <w:p w14:paraId="44A6AA0B"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45" w:name="_Toc84133787"/>
      <w:bookmarkStart w:id="46" w:name="_Toc84234389"/>
      <w:bookmarkStart w:id="47" w:name="_Toc84234436"/>
      <w:bookmarkStart w:id="48" w:name="_Toc86204790"/>
      <w:bookmarkStart w:id="49" w:name="_Toc86223244"/>
      <w:bookmarkStart w:id="50" w:name="_Toc86225293"/>
      <w:bookmarkStart w:id="51" w:name="_Toc86649724"/>
      <w:bookmarkStart w:id="52" w:name="_Toc86726441"/>
      <w:bookmarkStart w:id="53" w:name="_Toc86727357"/>
      <w:bookmarkStart w:id="54" w:name="_Toc86737931"/>
      <w:bookmarkStart w:id="55" w:name="_Toc89163370"/>
      <w:bookmarkStart w:id="56" w:name="_Toc108512360"/>
      <w:bookmarkStart w:id="57" w:name="_Toc110761798"/>
      <w:bookmarkStart w:id="58" w:name="_Toc110765662"/>
      <w:bookmarkStart w:id="59" w:name="_Toc110830494"/>
      <w:bookmarkStart w:id="60" w:name="_Toc118212952"/>
      <w:bookmarkStart w:id="61" w:name="_Toc118774805"/>
      <w:bookmarkStart w:id="62" w:name="_Toc118972650"/>
      <w:bookmarkStart w:id="63" w:name="_Toc119402712"/>
      <w:bookmarkStart w:id="64" w:name="_Toc120435785"/>
      <w:bookmarkStart w:id="65" w:name="_Toc124325890"/>
      <w:r w:rsidRPr="005F1112">
        <w:rPr>
          <w:rFonts w:ascii="宋体" w:hAnsi="宋体" w:hint="eastAsia"/>
          <w:sz w:val="30"/>
          <w:szCs w:val="30"/>
        </w:rPr>
        <w:lastRenderedPageBreak/>
        <w:t>六、指令的发送、确认及执行</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8D652F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基金管理人在运用基金财产时向基金托管人发送资金划拨及其他款项付款指令，基金托管人执行基金管理人的指令、办理基金名下的资金往来等有关事项。</w:t>
      </w:r>
    </w:p>
    <w:p w14:paraId="613AC2C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（一）基金管理人对发送指令人员的书面授权</w:t>
      </w:r>
    </w:p>
    <w:p w14:paraId="264FF4D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1.基金管理人应指定专人向基金托管人发送指令。</w:t>
      </w:r>
    </w:p>
    <w:p w14:paraId="6471733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2.基金管理人应向基金托管人提供书面授权文件，内容包括被授权人名单、预留印鉴及被授权人签字样本，授权文件应注明被授权人相应的权限。</w:t>
      </w:r>
    </w:p>
    <w:p w14:paraId="6F5DCFE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14:paraId="7CFDE9B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4.基金管理人和基金托管人对授权文件负有保密义务，其内容不得向被授权人及相关操作人员以外的任何人泄露。但法律法规规定或有权机关要求的除外。</w:t>
      </w:r>
    </w:p>
    <w:p w14:paraId="33FB399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（二）指令的内容</w:t>
      </w:r>
    </w:p>
    <w:p w14:paraId="47DD2D4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1.指令包括付款指令以及其他资金划拨指令等。</w:t>
      </w:r>
    </w:p>
    <w:p w14:paraId="0B1F957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2.基金管理人发给基金托管人的指令应写明款项事由、支付时间、到账时间、金额、账户等，加盖预留印鉴并由被授权人签字。</w:t>
      </w:r>
    </w:p>
    <w:p w14:paraId="55B62D2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（三）指令的发送、确认及执行的时间和程序</w:t>
      </w:r>
    </w:p>
    <w:p w14:paraId="48EE339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1.指令的发送</w:t>
      </w:r>
    </w:p>
    <w:p w14:paraId="753DF13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基金管理人发送指令应采用加密传真方式或双方协商一致的其他方式。</w:t>
      </w:r>
    </w:p>
    <w:p w14:paraId="645B77C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240F4BB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指令发出后，基金管理人应及时以电话方式向基金托管人确认。</w:t>
      </w:r>
    </w:p>
    <w:p w14:paraId="79D7677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基金管理人应在银行间交易成交后，及时将通知单、相关文件及划款指令加盖印章后发至基金托管人并电话确认，由基金托管人完成后台交易匹配及资金交</w:t>
      </w:r>
      <w:r w:rsidRPr="005F1112">
        <w:rPr>
          <w:rFonts w:ascii="宋体" w:hAnsi="宋体" w:cs="Arial" w:hint="eastAsia"/>
          <w:kern w:val="0"/>
          <w:sz w:val="24"/>
        </w:rPr>
        <w:lastRenderedPageBreak/>
        <w:t>收事宜。如果银行间结算系统已经生成的交易需要取消或终止，基金管理人要书面通知基金托管人。</w:t>
      </w:r>
    </w:p>
    <w:p w14:paraId="57A939D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2.指令的确认</w:t>
      </w:r>
    </w:p>
    <w:p w14:paraId="121CBF7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73E9908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3.指令的时间和执行</w:t>
      </w:r>
    </w:p>
    <w:p w14:paraId="625A0DD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对于中国证券登记结算有限责任公司实行T+0非担保交收的业务，基金管理人应在交易日14：00前将划款指令发送至托管人。因基金管理人指令传输不及时，致使资金未能及时划入中登公司所造成的损失由基金管理人承担，包括赔偿在深圳市场引起其他托管客户交易失败、赔偿因占用结算参与人最低备付金带来的利息损失。基金管理人应确保基金托管人在执行指令时，基金资金账户有足够的资金余额，在基金资金头寸充足的情况下，基金托管人对基金管理人符合法律法规、《基金合同》、本协议的指令不得拖延或拒绝执行。</w:t>
      </w:r>
    </w:p>
    <w:p w14:paraId="33D0DA2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（四）基金管理人发送错误指令的情形和处理程序</w:t>
      </w:r>
    </w:p>
    <w:p w14:paraId="6E4CD7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基金管理人发送错误指令的情形包括指令违反法律法规和《基金合同》，指令发送人员无权或超越权限发送指令。</w:t>
      </w:r>
    </w:p>
    <w:p w14:paraId="14EA224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基金托管人在履行监督职能时，发现基金管理人的指令错误时，有权拒绝执行，并及时通知基金管理人改正。如需撤销指令，基金管理人应出具书面说明，并加盖业务用章。</w:t>
      </w:r>
    </w:p>
    <w:p w14:paraId="753256B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（五）基金托管人依照法律法规暂缓、拒绝执行指令的情形和处理程序</w:t>
      </w:r>
    </w:p>
    <w:p w14:paraId="2735583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若基金托管人发现基金管理人的指令违反法律法规，或者违反《基金合同》约定的，应当拒绝执行，立即通知基金管理人。</w:t>
      </w:r>
    </w:p>
    <w:p w14:paraId="4484FBA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（六）基金托管人未按照基金管理人指令执行的处理方法</w:t>
      </w:r>
    </w:p>
    <w:p w14:paraId="3CB659A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基金托管人由于自身原因，未按照基金管理人发送的指令执行并对基金财产或投资人或基金管理人造成的直接损失，由基金托管人赔偿由此造成的直接损失。</w:t>
      </w:r>
    </w:p>
    <w:p w14:paraId="3A9A59C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（七）更换被授权人员的程序</w:t>
      </w:r>
    </w:p>
    <w:p w14:paraId="4E72CF4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基金托管人更换接受基金管理人指令的人员，应提前通过录音电话通知基金管理人。</w:t>
      </w:r>
    </w:p>
    <w:p w14:paraId="2587BD0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（八）其他事项</w:t>
      </w:r>
    </w:p>
    <w:p w14:paraId="636B794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14:paraId="2D187A6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基金参与认购未上市债券时，基金管理人应代表本基金与对手方签署相关合同或协议，明确约定债券过户具体事宜。否则，基金管理人需对所认购债券的过户事宜承担相应责任。</w:t>
      </w:r>
    </w:p>
    <w:p w14:paraId="1F1D7513"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66" w:name="_Toc84133788"/>
      <w:bookmarkStart w:id="67" w:name="_Toc84234390"/>
      <w:bookmarkStart w:id="68" w:name="_Toc84234437"/>
      <w:bookmarkStart w:id="69" w:name="_Toc86204791"/>
      <w:bookmarkStart w:id="70" w:name="_Toc86223245"/>
      <w:bookmarkStart w:id="71" w:name="_Toc86225294"/>
      <w:bookmarkStart w:id="72" w:name="_Toc86649725"/>
      <w:bookmarkStart w:id="73" w:name="_Toc86726442"/>
      <w:bookmarkStart w:id="74" w:name="_Toc86727358"/>
      <w:bookmarkStart w:id="75" w:name="_Toc86737932"/>
      <w:bookmarkStart w:id="76" w:name="_Toc89163371"/>
      <w:bookmarkStart w:id="77" w:name="_Toc108512361"/>
      <w:bookmarkStart w:id="78" w:name="_Toc110761799"/>
      <w:bookmarkStart w:id="79" w:name="_Toc110765663"/>
      <w:bookmarkStart w:id="80" w:name="_Toc110830495"/>
      <w:bookmarkStart w:id="81" w:name="_Toc118212953"/>
      <w:bookmarkStart w:id="82" w:name="_Toc118774806"/>
      <w:bookmarkStart w:id="83" w:name="_Toc118972651"/>
      <w:bookmarkStart w:id="84" w:name="_Toc119402713"/>
      <w:bookmarkStart w:id="85" w:name="_Toc120435786"/>
      <w:bookmarkStart w:id="86" w:name="_Toc124325891"/>
      <w:r w:rsidRPr="005F1112">
        <w:rPr>
          <w:rFonts w:ascii="宋体" w:hAnsi="宋体" w:hint="eastAsia"/>
          <w:sz w:val="30"/>
          <w:szCs w:val="30"/>
        </w:rPr>
        <w:t>七、交易及清算交收安排</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8212CB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（一）选择证券买卖的证券经营机构</w:t>
      </w:r>
    </w:p>
    <w:p w14:paraId="3BBC9DD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14:paraId="4E00915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（二）基金投资证券后的清算交收安排</w:t>
      </w:r>
    </w:p>
    <w:p w14:paraId="06D43B4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1.清算与交割</w:t>
      </w:r>
    </w:p>
    <w:p w14:paraId="59AFD2B2" w14:textId="0430FB2B"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基金管理人与基金托管人应根据有关法律法规及相关业务规则，签订《托管银行证券资金结算协议》，用以具体明确基金管理人与基金托管人在证券交易资金结算业务中的责任。</w:t>
      </w:r>
    </w:p>
    <w:p w14:paraId="4932E74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14:paraId="40DF8F3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5B863DE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14:paraId="480253C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基金管理人应采取合理、必要措施，确保T日日终有足够的资金头寸完成 T+1日中国证券登记结算有限责任公司的资金交收；如因基金管理人原因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1C542F3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根据中国证券登记结算有限责任公司结算规定，基金管理人在进行融资回购业务时，用于融资回购的债券将作为偿还融资回购到期购回款的质押券。如因基</w:t>
      </w:r>
      <w:r w:rsidRPr="005F1112">
        <w:rPr>
          <w:rFonts w:ascii="宋体" w:hAnsi="宋体" w:cs="Arial" w:hint="eastAsia"/>
          <w:kern w:val="0"/>
          <w:sz w:val="24"/>
        </w:rPr>
        <w:lastRenderedPageBreak/>
        <w:t>金管理人原因造成债券回购交收违约或因折算率变化造成质押欠库，导致中国证券登记结算有限责任公司欠库扣款或对质押券进行处置造成的投资风险和损失由基金管理人承担。</w:t>
      </w:r>
    </w:p>
    <w:p w14:paraId="64A32BF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实行场内T+0交收的资金清算按照基金托管人的相关规定流程执行。</w:t>
      </w:r>
    </w:p>
    <w:p w14:paraId="62DB63C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2.交易记录、资金和证券账目核对的时间和方式</w:t>
      </w:r>
    </w:p>
    <w:p w14:paraId="15906F9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（1）交易记录的核对</w:t>
      </w:r>
    </w:p>
    <w:p w14:paraId="6116A01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3C088C3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（2）资金账目的核对</w:t>
      </w:r>
    </w:p>
    <w:p w14:paraId="2EF6F49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资金账目按日核实。</w:t>
      </w:r>
    </w:p>
    <w:p w14:paraId="5313097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（3）证券账目的核对</w:t>
      </w:r>
    </w:p>
    <w:p w14:paraId="1C5E2F2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基金管理人和基金托管人每交易日结束后核对基金交易所场内证券账目，确保双方账目相符。基金管理人和基金托管人每月月末最后一个交易日核对非交易所场内的证券账目。</w:t>
      </w:r>
    </w:p>
    <w:p w14:paraId="6443FC1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（三）基金申购和赎回业务处理的基本规定</w:t>
      </w:r>
    </w:p>
    <w:p w14:paraId="1F2A705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1.基金份额申购、赎回的确认、清算由基金管理人或其委托的注册登记机构负责。</w:t>
      </w:r>
    </w:p>
    <w:p w14:paraId="3A24BB1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2E29E9A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3.基金管理人应保证本基金（或本基金管理人委托）的注册登记机构每个工作日15:00前向基金托管人发送前一开放日上述有关数据，并保证相关数据的准确、完整。</w:t>
      </w:r>
    </w:p>
    <w:p w14:paraId="18F64B8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注册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14:paraId="3BBCE81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5.如基金管理人委托其他机构办理本基金的注册登记业务，应保证上述相关事宜按时进行。否则，由基金管理人承担相应的责任。</w:t>
      </w:r>
    </w:p>
    <w:p w14:paraId="592096F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6.关于清算专用账户的设立和管理</w:t>
      </w:r>
    </w:p>
    <w:p w14:paraId="524C6F0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为满足申购、赎回及分红资金汇划的需要，由基金管理人开立资金清算的专用账户，该账户由注册登记机构管理。</w:t>
      </w:r>
    </w:p>
    <w:p w14:paraId="594D201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14:paraId="7ED4C81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8.赎回和分红资金划拨规定</w:t>
      </w:r>
    </w:p>
    <w:p w14:paraId="440C8A2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14:paraId="301D8AD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9.资金指令</w:t>
      </w:r>
    </w:p>
    <w:p w14:paraId="7863E6D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除申购款项到达基金资金账户需双方按约定方式对账外，回购到期付款和与投资有关的付款、赎回和分红资金划拨时，基金管理人需向基金托管人下达指令。</w:t>
      </w:r>
    </w:p>
    <w:p w14:paraId="2B9BC1A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资金指令的格式、内容、发送、接收和确认方式等与投资指令相同。</w:t>
      </w:r>
    </w:p>
    <w:p w14:paraId="11615E7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（四）申赎净额结算</w:t>
      </w:r>
    </w:p>
    <w:p w14:paraId="5F71CE8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账户与“基金清算账户”间的资金结算遵循“全额清算、净额交收”的原则，每日(T日：资金交收日，下同)按照托管账户应收资金(T-2日申购申请对应申购金额与T-2日基金转换入申请对应金额之和)与应付资金(T-3日赎回申请对应赎回金额与T-2日基金转换出申请对应金额之和)的差额来确定托管账户净应收额或净应付额，以此确定资金交收额。当存在托管账户净应收额时，基金管理人应在T日15:00之前从基金清算账户划往基金托管账户；当存在托管账户净应付额时，基金管理人应在T-1日将划款指令发送给基金托管人，基金托管人按基金管理人的划款指令将托管账户净应付额在T日12:00之前划往基金清算账户。</w:t>
      </w:r>
    </w:p>
    <w:p w14:paraId="2C0DD07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（五）基金转换</w:t>
      </w:r>
    </w:p>
    <w:p w14:paraId="2903258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1.在本基金与基金管理人管理的其它基金开展转换业务之前，基金管理人应函告基金托管人并就相关事宜进行协商。</w:t>
      </w:r>
    </w:p>
    <w:p w14:paraId="78C3334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2.本基金开展基金转换业务应按相关法律法规规定及《基金合同》的约定进行公告。</w:t>
      </w:r>
    </w:p>
    <w:p w14:paraId="73944F4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（六）基金现金分红</w:t>
      </w:r>
    </w:p>
    <w:p w14:paraId="1BB2B1D0" w14:textId="056C01E1"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1.基金管理人确定分红方案通知基金托管人，双方核定后依照《信息披露办法》的有关规定在中国证监会指定媒</w:t>
      </w:r>
      <w:r w:rsidR="00DA4436" w:rsidRPr="005F1112">
        <w:rPr>
          <w:rFonts w:ascii="宋体" w:hAnsi="宋体" w:cs="Arial" w:hint="eastAsia"/>
          <w:kern w:val="0"/>
          <w:sz w:val="24"/>
        </w:rPr>
        <w:t>介</w:t>
      </w:r>
      <w:r w:rsidRPr="005F1112">
        <w:rPr>
          <w:rFonts w:ascii="宋体" w:hAnsi="宋体" w:cs="Arial" w:hint="eastAsia"/>
          <w:kern w:val="0"/>
          <w:sz w:val="24"/>
        </w:rPr>
        <w:t>上公告并报中国证监会备案。</w:t>
      </w:r>
    </w:p>
    <w:p w14:paraId="315C29A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2.基金托管人和基金管理人对基金分红进行账务处理并核对后，基金管理人向基金托管人发送现金红利的划款指令，基金托管人应及时将资金划入专用账户。</w:t>
      </w:r>
    </w:p>
    <w:p w14:paraId="37B6517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3.基金管理人在下达指令时，应给基金托管人留出必需的划款时间。</w:t>
      </w:r>
    </w:p>
    <w:p w14:paraId="685F4639" w14:textId="681091A5"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w:t>
      </w:r>
      <w:r w:rsidR="0066109D" w:rsidRPr="005F1112">
        <w:rPr>
          <w:rFonts w:ascii="宋体" w:hAnsi="宋体" w:cs="Arial" w:hint="eastAsia"/>
          <w:kern w:val="0"/>
          <w:sz w:val="24"/>
        </w:rPr>
        <w:t>七</w:t>
      </w:r>
      <w:r w:rsidRPr="005F1112">
        <w:rPr>
          <w:rFonts w:ascii="宋体" w:hAnsi="宋体" w:hint="eastAsia"/>
          <w:kern w:val="0"/>
          <w:sz w:val="24"/>
        </w:rPr>
        <w:t>）投资银行存款的特别约定</w:t>
      </w:r>
    </w:p>
    <w:p w14:paraId="2A15E14F" w14:textId="5EB04340"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1.本基金投资银行存款前，基金管理人应与存款银行签订具体存款协议，包括但不限于以下内容：</w:t>
      </w:r>
      <w:r w:rsidRPr="005F1112" w:rsidDel="00CB5920">
        <w:rPr>
          <w:rFonts w:ascii="宋体" w:hAnsi="宋体" w:hint="eastAsia"/>
          <w:kern w:val="0"/>
          <w:sz w:val="24"/>
        </w:rPr>
        <w:t xml:space="preserve"> </w:t>
      </w:r>
    </w:p>
    <w:p w14:paraId="24715D0E" w14:textId="77777777"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（1）存款账户必须以本基金名义开立,并将基金托管人为本基金开立的基金银行账户指定为唯一回款账户，任何情况下，存款银行都不得将存款投资本息划往任何其他账户。</w:t>
      </w:r>
    </w:p>
    <w:p w14:paraId="2C0BB542" w14:textId="77777777"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（2）存款银行不得接受基金管理人或基金托管人任何一方单方面提出的对存款进行更名、转让、挂失、质押、担保、撤销、变更印鉴及回款账户信息等可能导致财产转移的操作申请。</w:t>
      </w:r>
    </w:p>
    <w:p w14:paraId="58357047" w14:textId="77777777"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（3）约定存款证实书的具体传递交接方式及交接期限。</w:t>
      </w:r>
    </w:p>
    <w:p w14:paraId="152142B1" w14:textId="77777777" w:rsidR="00167332" w:rsidRPr="005F1112" w:rsidRDefault="00167332" w:rsidP="00167332">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（4）资金划转过程中需要使用存款银行过渡账户的，存款银行须保证资金在过渡账户中不出现滞留，不被挪用。</w:t>
      </w:r>
    </w:p>
    <w:p w14:paraId="38082D2F" w14:textId="77777777" w:rsidR="00167332" w:rsidRPr="005F1112" w:rsidRDefault="00167332" w:rsidP="006D2A79">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2CBA3659" w14:textId="77777777" w:rsidR="00167332" w:rsidRPr="005F1112" w:rsidRDefault="00167332" w:rsidP="006D2A79">
      <w:pPr>
        <w:widowControl/>
        <w:adjustRightInd w:val="0"/>
        <w:snapToGrid w:val="0"/>
        <w:spacing w:line="360" w:lineRule="auto"/>
        <w:ind w:firstLineChars="200" w:firstLine="480"/>
        <w:rPr>
          <w:rFonts w:ascii="宋体" w:hAnsi="宋体"/>
          <w:kern w:val="0"/>
          <w:sz w:val="24"/>
        </w:rPr>
      </w:pPr>
      <w:r w:rsidRPr="005F1112">
        <w:rPr>
          <w:rFonts w:ascii="宋体" w:hAnsi="宋体" w:hint="eastAsia"/>
          <w:kern w:val="0"/>
          <w:sz w:val="24"/>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79F2B915"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87" w:name="_Toc124325892"/>
      <w:r w:rsidRPr="005F1112">
        <w:rPr>
          <w:rFonts w:ascii="宋体" w:hAnsi="宋体" w:hint="eastAsia"/>
          <w:sz w:val="30"/>
          <w:szCs w:val="30"/>
        </w:rPr>
        <w:lastRenderedPageBreak/>
        <w:t>八、基金资产净值计算和会计核算</w:t>
      </w:r>
      <w:bookmarkEnd w:id="87"/>
    </w:p>
    <w:p w14:paraId="6FB3647F"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（一）基金资产净值的计算、复核与完成的时间及程序</w:t>
      </w:r>
    </w:p>
    <w:p w14:paraId="50233E5E" w14:textId="0CD4A77C"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1.基金资产净值是指基金资产总值减去负债后的金额。基金份额净值是按照每个交易日闭市后，基金资产净值除以当日基金份额的余额数量计算，精确到0.00</w:t>
      </w:r>
      <w:r w:rsidR="004E1E46" w:rsidRPr="005F1112">
        <w:rPr>
          <w:rFonts w:ascii="宋体" w:hAnsi="宋体" w:cs="Arial" w:hint="eastAsia"/>
          <w:kern w:val="0"/>
          <w:sz w:val="24"/>
        </w:rPr>
        <w:t>0</w:t>
      </w:r>
      <w:r w:rsidRPr="005F1112">
        <w:rPr>
          <w:rFonts w:ascii="宋体" w:hAnsi="宋体" w:cs="Arial" w:hint="eastAsia"/>
          <w:kern w:val="0"/>
          <w:sz w:val="24"/>
        </w:rPr>
        <w:t>1元，小数点后第</w:t>
      </w:r>
      <w:r w:rsidR="004E1E46" w:rsidRPr="005F1112">
        <w:rPr>
          <w:rFonts w:ascii="宋体" w:hAnsi="宋体" w:cs="Arial" w:hint="eastAsia"/>
          <w:kern w:val="0"/>
          <w:sz w:val="24"/>
        </w:rPr>
        <w:t>五</w:t>
      </w:r>
      <w:r w:rsidRPr="005F1112">
        <w:rPr>
          <w:rFonts w:ascii="宋体" w:hAnsi="宋体" w:cs="Arial" w:hint="eastAsia"/>
          <w:kern w:val="0"/>
          <w:sz w:val="24"/>
        </w:rPr>
        <w:t>位四舍五入。国家另有规定的，从其规定。</w:t>
      </w:r>
    </w:p>
    <w:p w14:paraId="731C7B14"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每个交易日计算基金资产净值及基金份额净值，并按规定公告。</w:t>
      </w:r>
    </w:p>
    <w:p w14:paraId="26AAB3CA"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14:paraId="7DC01A14"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（二）基金资产估值方法和特殊情形的处理</w:t>
      </w:r>
    </w:p>
    <w:p w14:paraId="4DB57F54"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1.估值对象</w:t>
      </w:r>
    </w:p>
    <w:p w14:paraId="46E2A257" w14:textId="77777777" w:rsidR="004049CF" w:rsidRPr="005F1112" w:rsidRDefault="004E1E46" w:rsidP="003523C9">
      <w:pPr>
        <w:widowControl/>
        <w:adjustRightInd w:val="0"/>
        <w:snapToGrid w:val="0"/>
        <w:spacing w:line="350" w:lineRule="auto"/>
        <w:ind w:firstLineChars="200" w:firstLine="480"/>
        <w:rPr>
          <w:rFonts w:ascii="宋体" w:hAnsi="宋体" w:cs="Arial"/>
          <w:kern w:val="0"/>
          <w:sz w:val="24"/>
        </w:rPr>
      </w:pPr>
      <w:r w:rsidRPr="005F1112">
        <w:rPr>
          <w:rFonts w:hint="eastAsia"/>
          <w:bCs/>
          <w:sz w:val="24"/>
        </w:rPr>
        <w:t>基金所拥有的股票、权证、债券、股指期货、国债期货和银行存款本息、应收款项、其它投资等资产及负债</w:t>
      </w:r>
      <w:r w:rsidR="004049CF" w:rsidRPr="005F1112">
        <w:rPr>
          <w:rFonts w:ascii="宋体" w:hAnsi="宋体" w:cs="Arial" w:hint="eastAsia"/>
          <w:kern w:val="0"/>
          <w:sz w:val="24"/>
        </w:rPr>
        <w:t>。</w:t>
      </w:r>
    </w:p>
    <w:p w14:paraId="7F7AC1DD"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2.估值方法</w:t>
      </w:r>
    </w:p>
    <w:p w14:paraId="236C2875"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本基金所持有的投资品种，按如下原则进行估值 ：</w:t>
      </w:r>
    </w:p>
    <w:p w14:paraId="0758DD02"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w:t>
      </w:r>
      <w:r w:rsidR="004E1E46" w:rsidRPr="005F1112">
        <w:rPr>
          <w:rFonts w:hint="eastAsia"/>
          <w:bCs/>
          <w:sz w:val="24"/>
        </w:rPr>
        <w:t>证券交易所上市交易的有价证券的估值</w:t>
      </w:r>
    </w:p>
    <w:p w14:paraId="77235AA8"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①</w:t>
      </w:r>
      <w:r w:rsidR="004E1E46" w:rsidRPr="005F1112">
        <w:rPr>
          <w:rFonts w:hint="eastAsia"/>
          <w:bCs/>
          <w:sz w:val="24"/>
        </w:rPr>
        <w:t>交易所上市交易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Pr="005F1112">
        <w:rPr>
          <w:rFonts w:ascii="宋体" w:hAnsi="宋体" w:cs="Arial" w:hint="eastAsia"/>
          <w:kern w:val="0"/>
          <w:sz w:val="24"/>
        </w:rPr>
        <w:t>。</w:t>
      </w:r>
    </w:p>
    <w:p w14:paraId="2259E36F" w14:textId="47BABEDF"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②</w:t>
      </w:r>
      <w:r w:rsidR="002463A4" w:rsidRPr="005F1112">
        <w:rPr>
          <w:rFonts w:hint="eastAsia"/>
          <w:bCs/>
          <w:sz w:val="24"/>
        </w:rPr>
        <w:t>交易所上市交易或挂牌转让的不含权和含权固定收益品种（另有规定的除外），选取第三方估值机构提供的相应品种当日的估值净价估值</w:t>
      </w:r>
      <w:r w:rsidRPr="005F1112">
        <w:rPr>
          <w:rFonts w:ascii="宋体" w:hAnsi="宋体" w:cs="Arial" w:hint="eastAsia"/>
          <w:kern w:val="0"/>
          <w:sz w:val="24"/>
        </w:rPr>
        <w:t>。</w:t>
      </w:r>
    </w:p>
    <w:p w14:paraId="6D76CB4D" w14:textId="62394EBF"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③</w:t>
      </w:r>
      <w:r w:rsidR="002463A4" w:rsidRPr="005F1112">
        <w:rPr>
          <w:rFonts w:hint="eastAsia"/>
          <w:bCs/>
          <w:sz w:val="24"/>
        </w:rPr>
        <w:t>交易所上市交易或挂牌转让的资产支持证券和私募证券</w:t>
      </w:r>
      <w:r w:rsidR="004E1E46" w:rsidRPr="005F1112">
        <w:rPr>
          <w:rFonts w:hint="eastAsia"/>
          <w:bCs/>
          <w:sz w:val="24"/>
        </w:rPr>
        <w:t>，采用估值技术确定公允价值，在估值技术难以可靠计量公允价值的情况下，按成本估值</w:t>
      </w:r>
      <w:r w:rsidRPr="005F1112">
        <w:rPr>
          <w:rFonts w:ascii="宋体" w:hAnsi="宋体" w:cs="Arial" w:hint="eastAsia"/>
          <w:kern w:val="0"/>
          <w:sz w:val="24"/>
        </w:rPr>
        <w:t>；</w:t>
      </w:r>
    </w:p>
    <w:p w14:paraId="016228BC" w14:textId="0208436F"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④</w:t>
      </w:r>
      <w:r w:rsidR="004E1E46" w:rsidRPr="005F1112">
        <w:rPr>
          <w:rFonts w:hint="eastAsia"/>
          <w:bCs/>
          <w:sz w:val="24"/>
        </w:rPr>
        <w:t>交易所市场上市交易的可转换债券，按估值日收盘全价减去债券收盘价中所含的债券</w:t>
      </w:r>
      <w:r w:rsidR="0066109D" w:rsidRPr="005F1112">
        <w:rPr>
          <w:rFonts w:hint="eastAsia"/>
          <w:bCs/>
          <w:sz w:val="24"/>
        </w:rPr>
        <w:t>税后</w:t>
      </w:r>
      <w:r w:rsidR="004E1E46" w:rsidRPr="005F1112">
        <w:rPr>
          <w:rFonts w:hint="eastAsia"/>
          <w:bCs/>
          <w:sz w:val="24"/>
        </w:rPr>
        <w:t>应收利息得到的净价进行估值；估值日没有交易的，且最近交易日后经济环境未发生重大变化，按最近交易日债券收盘价减去债券收盘价中所含</w:t>
      </w:r>
      <w:r w:rsidR="004E1E46" w:rsidRPr="005F1112">
        <w:rPr>
          <w:rFonts w:hint="eastAsia"/>
          <w:bCs/>
          <w:sz w:val="24"/>
        </w:rPr>
        <w:lastRenderedPageBreak/>
        <w:t>的债券应收利息得到的净价进行估值。如最近交易日后经济环境发生了重大变化的，可参考类似投资品种的现行市价及重大变化因素，调整最近交易市价，确定公允价格</w:t>
      </w:r>
      <w:r w:rsidRPr="005F1112">
        <w:rPr>
          <w:rFonts w:ascii="宋体" w:hAnsi="宋体" w:cs="Arial" w:hint="eastAsia"/>
          <w:kern w:val="0"/>
          <w:sz w:val="24"/>
        </w:rPr>
        <w:t>。</w:t>
      </w:r>
    </w:p>
    <w:p w14:paraId="2DC16D05"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（2）处于未上市期间的有价证券应区分如下情况处理：</w:t>
      </w:r>
    </w:p>
    <w:p w14:paraId="70801F8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①</w:t>
      </w:r>
      <w:r w:rsidR="004E1E46" w:rsidRPr="005F1112">
        <w:rPr>
          <w:rFonts w:hint="eastAsia"/>
          <w:bCs/>
          <w:sz w:val="24"/>
        </w:rPr>
        <w:t>送股、转增股、配股和公开增发的新股，按估值日在证券交易所挂牌的同一股票的估值方法估值</w:t>
      </w:r>
      <w:r w:rsidRPr="005F1112">
        <w:rPr>
          <w:rFonts w:ascii="宋体" w:hAnsi="宋体" w:cs="Arial" w:hint="eastAsia"/>
          <w:kern w:val="0"/>
          <w:sz w:val="24"/>
        </w:rPr>
        <w:t>；</w:t>
      </w:r>
      <w:r w:rsidRPr="005F1112" w:rsidDel="00DF4AA1">
        <w:rPr>
          <w:rFonts w:ascii="宋体" w:hAnsi="宋体" w:cs="Arial" w:hint="eastAsia"/>
          <w:kern w:val="0"/>
          <w:sz w:val="24"/>
        </w:rPr>
        <w:t xml:space="preserve"> </w:t>
      </w:r>
    </w:p>
    <w:p w14:paraId="7E47352E" w14:textId="03435C74"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②</w:t>
      </w:r>
      <w:r w:rsidR="004E1E46" w:rsidRPr="005F1112">
        <w:rPr>
          <w:rFonts w:hint="eastAsia"/>
          <w:bCs/>
          <w:sz w:val="24"/>
        </w:rPr>
        <w:t>首次公开发行未上市的股票和权证，采用估值技术确定公允价值，在估值技术难以可靠计量公允价值的情况下，按成本估值</w:t>
      </w:r>
      <w:r w:rsidRPr="005F1112">
        <w:rPr>
          <w:rFonts w:ascii="宋体" w:hAnsi="宋体" w:cs="Arial" w:hint="eastAsia"/>
          <w:kern w:val="0"/>
          <w:sz w:val="24"/>
        </w:rPr>
        <w:t>。</w:t>
      </w:r>
    </w:p>
    <w:p w14:paraId="0CD01CC7"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③</w:t>
      </w:r>
      <w:r w:rsidR="004E1E46" w:rsidRPr="005F1112">
        <w:rPr>
          <w:rFonts w:hint="eastAsia"/>
          <w:bCs/>
          <w:sz w:val="24"/>
        </w:rPr>
        <w:t>对在交易所市场发行未上市或未挂牌转让的债券，对存在活跃市场的情况下，应以活跃市场上未经调整的报价作为计量日的公允价值进行估值；对于活跃市场报价未能代表计量日公允价值的情况下，按成本应对市场报价进行调整，确认计量日的公允价值；对于不存在市场活动或市场活动很少的情况下，则采用估值技术确定公允价值，在估值技术难以可靠计量公允价值的情况下，按成本估值</w:t>
      </w:r>
      <w:r w:rsidRPr="005F1112">
        <w:rPr>
          <w:rFonts w:ascii="宋体" w:hAnsi="宋体" w:cs="Arial" w:hint="eastAsia"/>
          <w:kern w:val="0"/>
          <w:sz w:val="24"/>
        </w:rPr>
        <w:t>。</w:t>
      </w:r>
    </w:p>
    <w:p w14:paraId="26ECA389"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④</w:t>
      </w:r>
      <w:r w:rsidR="004E1E46" w:rsidRPr="005F1112">
        <w:rPr>
          <w:rFonts w:hint="eastAsia"/>
          <w:bCs/>
          <w:sz w:val="24"/>
        </w:rPr>
        <w:t>首次公开发行有明确锁定期的股票，同一股票在交易所上市后，按交易所上市的同一股票的估值方法估值；非公开发行有明确锁定期的股票，按监管机构或行业协会有关规定确定公允价值</w:t>
      </w:r>
      <w:r w:rsidRPr="005F1112">
        <w:rPr>
          <w:rFonts w:ascii="宋体" w:hAnsi="宋体" w:cs="Arial" w:hint="eastAsia"/>
          <w:kern w:val="0"/>
          <w:sz w:val="24"/>
        </w:rPr>
        <w:t>。</w:t>
      </w:r>
    </w:p>
    <w:p w14:paraId="5F4A7CCF" w14:textId="4206C65A"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（3）</w:t>
      </w:r>
      <w:r w:rsidR="002463A4" w:rsidRPr="005F1112">
        <w:rPr>
          <w:rFonts w:ascii="宋体" w:hAnsi="宋体" w:cs="Arial" w:hint="eastAsia"/>
          <w:kern w:val="0"/>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r w:rsidRPr="005F1112">
        <w:rPr>
          <w:rFonts w:ascii="宋体" w:hAnsi="宋体" w:cs="Arial" w:hint="eastAsia"/>
          <w:kern w:val="0"/>
          <w:sz w:val="24"/>
        </w:rPr>
        <w:t>。</w:t>
      </w:r>
    </w:p>
    <w:p w14:paraId="47A2FA53"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（4）同一债券同时在两个或两个以上市场交易的，按债券所处的市场分别估值。</w:t>
      </w:r>
    </w:p>
    <w:p w14:paraId="526A15E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（5）</w:t>
      </w:r>
      <w:r w:rsidR="004E1E46" w:rsidRPr="005F1112">
        <w:rPr>
          <w:rFonts w:hint="eastAsia"/>
          <w:bCs/>
          <w:sz w:val="24"/>
        </w:rPr>
        <w:t>本基金投资股指期货合约、国债期货合约，一般以估值当日结算价进行估值，估值当日无结算价的，且最近交易日后经济环境未发生重大变化的，采用最近交易日结算价估值</w:t>
      </w:r>
      <w:r w:rsidRPr="005F1112">
        <w:rPr>
          <w:rFonts w:ascii="宋体" w:hAnsi="宋体" w:cs="Arial" w:hint="eastAsia"/>
          <w:kern w:val="0"/>
          <w:sz w:val="24"/>
        </w:rPr>
        <w:t>。</w:t>
      </w:r>
    </w:p>
    <w:p w14:paraId="4AD7DB6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（6）本基金可以采用第三方估值机构按照上述公允价值确定原则提供的估值价格数据。</w:t>
      </w:r>
    </w:p>
    <w:p w14:paraId="56098C29"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lastRenderedPageBreak/>
        <w:t>（7）如有确凿证据表明按上述方法进行估值不能客观反映其公允价值的，基金管理人可根据具体情况与基金托管人商定后，按最能反映公允价值的价格估值。</w:t>
      </w:r>
    </w:p>
    <w:p w14:paraId="4752D723"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（8）相关法律法规以及监管部门有强制规定的，从其规定。如有新增事项，按国家最新规定估值。</w:t>
      </w:r>
    </w:p>
    <w:p w14:paraId="5014362D"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26F3BB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14:paraId="70535789"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3.特殊情形的处理</w:t>
      </w:r>
    </w:p>
    <w:p w14:paraId="48522478"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基金管理人、基金托管人按估值方法的第(7)项进行估值时，所造成的误差不作为基金份额净值错误处理。</w:t>
      </w:r>
    </w:p>
    <w:p w14:paraId="124DF99F"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（三）基金份额净值错误的处理方式</w:t>
      </w:r>
    </w:p>
    <w:p w14:paraId="546DFD10" w14:textId="57F17F40"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1.当基金份额净值小数点后</w:t>
      </w:r>
      <w:r w:rsidR="004E1E46" w:rsidRPr="005F1112">
        <w:rPr>
          <w:rFonts w:ascii="宋体" w:hAnsi="宋体" w:cs="Arial" w:hint="eastAsia"/>
          <w:kern w:val="0"/>
          <w:sz w:val="24"/>
        </w:rPr>
        <w:t>4</w:t>
      </w:r>
      <w:r w:rsidRPr="005F1112">
        <w:rPr>
          <w:rFonts w:ascii="宋体" w:hAnsi="宋体" w:cs="Arial" w:hint="eastAsia"/>
          <w:kern w:val="0"/>
          <w:sz w:val="24"/>
        </w:rPr>
        <w:t>位以内(含第</w:t>
      </w:r>
      <w:r w:rsidR="004E1E46" w:rsidRPr="005F1112">
        <w:rPr>
          <w:rFonts w:ascii="宋体" w:hAnsi="宋体" w:cs="Arial" w:hint="eastAsia"/>
          <w:kern w:val="0"/>
          <w:sz w:val="24"/>
        </w:rPr>
        <w:t>4</w:t>
      </w:r>
      <w:r w:rsidRPr="005F1112">
        <w:rPr>
          <w:rFonts w:ascii="宋体" w:hAnsi="宋体" w:cs="Arial" w:hint="eastAsia"/>
          <w:kern w:val="0"/>
          <w:sz w:val="24"/>
        </w:rPr>
        <w:t>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错误偏差达到基金份额净值的0.5%时，基金管理人应当公告；当发生净值计算错误时，由基金管理人负责处理，由此给基金份额持有人和基金造成损失的，应由基金管理人先行赔付，基金管理人按差错情形，有权向其他当事人追偿。</w:t>
      </w:r>
    </w:p>
    <w:p w14:paraId="1A922069"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2.当基金份额净值计算差错给基金和基金份额持有人造成损失需要进行赔偿时，基金管理人和基金托管人应根据实际情况界定双方承担的责任，经确认后按以下条款进行赔偿：</w:t>
      </w:r>
    </w:p>
    <w:p w14:paraId="72F22E90"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FF14305"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(2)若基金管理人计算的基金份额净值已由基金托管人复核确认后公告，而且基金托管人未对计算过程提出疑义或要求基金管理人书面说明，基金份额净值出</w:t>
      </w:r>
      <w:r w:rsidRPr="005F1112">
        <w:rPr>
          <w:rFonts w:ascii="宋体" w:hAnsi="宋体" w:cs="Arial" w:hint="eastAsia"/>
          <w:kern w:val="0"/>
          <w:sz w:val="24"/>
        </w:rPr>
        <w:lastRenderedPageBreak/>
        <w:t>错且造成基金份额持有人损失的，应根据法律法规的规定对投资者或基金支付赔偿金，就实际向投资者或基金支付的赔偿金额，基金管理人与基金托管人按照管理费和托管费的比例各自承担相应的责任。</w:t>
      </w:r>
    </w:p>
    <w:p w14:paraId="75A508A1"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57490551"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(4)由于基金管理人提供的信息错误（包括但不限于基金申购或赎回金额等），进而导致基金份额净值计算错误而引起的基金份额持有人和基金财产的损失，由基金管理人负责赔付。</w:t>
      </w:r>
    </w:p>
    <w:p w14:paraId="275DE5CB"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3.由于证券交易所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14:paraId="58456FC4"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4.基金管理人和基金托管人由于各自技术系统设置而产生的净值计算尾差，以基金管理人计算结果为准。</w:t>
      </w:r>
    </w:p>
    <w:p w14:paraId="7ADD95EE"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5.前述内容如法律法规或者监管部门另有规定的，从其规定。如果行业另有通行做法，双方当事人应本着平等和保护基金份额持有人利益的原则进行协商。</w:t>
      </w:r>
    </w:p>
    <w:p w14:paraId="21CDC299"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（四）暂停估值与公告基金份额净值的情形</w:t>
      </w:r>
    </w:p>
    <w:p w14:paraId="6DAF3A13"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1.基金投资所涉及的证券交易市场遇法定节假日或因其他原因暂停营业时；</w:t>
      </w:r>
    </w:p>
    <w:p w14:paraId="7653EA94"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2.因不可抗力致使基金管理人、基金托管人无法准确评估基金资产价值时；</w:t>
      </w:r>
    </w:p>
    <w:p w14:paraId="1E832EEA" w14:textId="6BB57F90"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3.中国证监会和《基金合同》认定的其他情形。</w:t>
      </w:r>
    </w:p>
    <w:p w14:paraId="29AB9995"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（五）基金会计制度</w:t>
      </w:r>
    </w:p>
    <w:p w14:paraId="372FA30D"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按国家有关部门规定的会计制度执行。</w:t>
      </w:r>
    </w:p>
    <w:p w14:paraId="398EECD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（六）基金账册的建立</w:t>
      </w:r>
    </w:p>
    <w:p w14:paraId="3B21842C" w14:textId="77777777" w:rsidR="004049CF" w:rsidRPr="005F1112" w:rsidRDefault="004049CF" w:rsidP="003523C9">
      <w:pPr>
        <w:widowControl/>
        <w:adjustRightInd w:val="0"/>
        <w:snapToGrid w:val="0"/>
        <w:spacing w:line="350" w:lineRule="auto"/>
        <w:ind w:firstLineChars="200" w:firstLine="480"/>
        <w:rPr>
          <w:rFonts w:ascii="宋体" w:hAnsi="宋体" w:cs="Arial"/>
          <w:kern w:val="0"/>
          <w:sz w:val="24"/>
        </w:rPr>
      </w:pPr>
      <w:r w:rsidRPr="005F1112">
        <w:rPr>
          <w:rFonts w:ascii="宋体" w:hAnsi="宋体" w:cs="Arial" w:hint="eastAsia"/>
          <w:kern w:val="0"/>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14:paraId="0FD85412" w14:textId="77777777" w:rsidR="004049CF" w:rsidRPr="005F1112" w:rsidRDefault="004049CF" w:rsidP="003523C9">
      <w:pPr>
        <w:widowControl/>
        <w:adjustRightInd w:val="0"/>
        <w:snapToGrid w:val="0"/>
        <w:spacing w:beforeLines="50" w:before="156" w:line="360" w:lineRule="auto"/>
        <w:ind w:firstLineChars="200" w:firstLine="480"/>
        <w:rPr>
          <w:rFonts w:ascii="宋体" w:hAnsi="宋体" w:cs="Arial"/>
          <w:kern w:val="0"/>
          <w:sz w:val="24"/>
        </w:rPr>
      </w:pPr>
      <w:r w:rsidRPr="005F1112">
        <w:rPr>
          <w:rFonts w:ascii="宋体" w:hAnsi="宋体" w:cs="Arial" w:hint="eastAsia"/>
          <w:kern w:val="0"/>
          <w:sz w:val="24"/>
        </w:rPr>
        <w:lastRenderedPageBreak/>
        <w:t>（七）基金财务报表与报告的编制和复核</w:t>
      </w:r>
    </w:p>
    <w:p w14:paraId="791DDFF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1.财务报表的编制</w:t>
      </w:r>
    </w:p>
    <w:p w14:paraId="0A263E7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基金财务报表由基金管理人编制，基金托管人复核。</w:t>
      </w:r>
    </w:p>
    <w:p w14:paraId="7836D0A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2.报表复核</w:t>
      </w:r>
    </w:p>
    <w:p w14:paraId="69EFF28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基金托管人在收到基金管理人编制的基金财务报表后，进行独立的复核。核对不符时，应及时通知基金管理人共同查出原因，进行调整，直至双方数据完全一致。</w:t>
      </w:r>
    </w:p>
    <w:p w14:paraId="35373C8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3.财务报表的编制与复核时间安排</w:t>
      </w:r>
    </w:p>
    <w:p w14:paraId="2319853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(1)报表的编制</w:t>
      </w:r>
    </w:p>
    <w:p w14:paraId="25198DF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14:paraId="6067180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(2)报表的复核</w:t>
      </w:r>
    </w:p>
    <w:p w14:paraId="6E12080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44CAF0E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基金管理人应留足充分的时间，便于基金托管人复核相关报表及报告。</w:t>
      </w:r>
    </w:p>
    <w:p w14:paraId="38897BA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（八）基金管理人应在编制季度报告、半年度报告或者年度报告之前及时向基金托管人提供基金业绩比较基准的基础数据和编制结果。</w:t>
      </w:r>
    </w:p>
    <w:p w14:paraId="0D59A16B"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88" w:name="_Toc124325893"/>
      <w:r w:rsidRPr="005F1112">
        <w:rPr>
          <w:rFonts w:ascii="宋体" w:hAnsi="宋体" w:hint="eastAsia"/>
          <w:sz w:val="30"/>
          <w:szCs w:val="30"/>
        </w:rPr>
        <w:t>九、基金收益分配</w:t>
      </w:r>
      <w:bookmarkEnd w:id="88"/>
    </w:p>
    <w:p w14:paraId="429240F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基金收益分配是指按规定将基金的可分配收益按基金份额进行比例分配。</w:t>
      </w:r>
    </w:p>
    <w:p w14:paraId="7FD40FC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（一）基金收益分配的原则</w:t>
      </w:r>
    </w:p>
    <w:p w14:paraId="056F799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基金收益分配应遵循下列原则：</w:t>
      </w:r>
    </w:p>
    <w:p w14:paraId="2098D71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1、在符合有关基金分红条件的前提下，本基金每年收益分配次数最多为4次，每次收益分配比例不得低于该次可供分配利润的20%，若《基金合同》生效不满3个月可不进行收益分配；</w:t>
      </w:r>
    </w:p>
    <w:p w14:paraId="22809ED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2、本基金收益分配方式分两种：现金分红与红利再投资，投资者可选择现金红利或将现金红利按除权日经除权后的该基金份额净值自动转为基金份额进行再投资；若投资者不选择，本基金默认的收益分配方式是现金分红；</w:t>
      </w:r>
    </w:p>
    <w:p w14:paraId="3B5B7AB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3、基金收益分配后基金份额净值不能低于面值；即基金收益分配基准日的基金份额净值减去每单位基金份额收益分配金额后不能低于面值；</w:t>
      </w:r>
    </w:p>
    <w:p w14:paraId="3F80D1E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4、每一基金份额享有同等分配权；</w:t>
      </w:r>
    </w:p>
    <w:p w14:paraId="4C01163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5、投资者的现金红利保留到小数点后第2位，由此误差产生的收益或损失由基金资产承担；</w:t>
      </w:r>
    </w:p>
    <w:p w14:paraId="60BEBFA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6、法律法规或监管机关另有规定的，从其规定。</w:t>
      </w:r>
    </w:p>
    <w:p w14:paraId="10CC65C8" w14:textId="77777777" w:rsidR="008D5B2F" w:rsidRPr="005F1112" w:rsidRDefault="008D5B2F" w:rsidP="000C4AB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在对基金份额持有人利益无实质不利影响的前提下，基金管理人可对基金收益分配原则进行调整，不需召开基金份额持有人大会。</w:t>
      </w:r>
    </w:p>
    <w:p w14:paraId="0C696EE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（二）基金收益分配的时间和程序</w:t>
      </w:r>
    </w:p>
    <w:p w14:paraId="43CFF460" w14:textId="1B90CB83"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本基金收益分配方案由基金管理人拟订，并由基金托管人复核，在2个工作日内在指定媒</w:t>
      </w:r>
      <w:r w:rsidR="00DA4436" w:rsidRPr="005F1112">
        <w:rPr>
          <w:rFonts w:ascii="宋体" w:hAnsi="宋体" w:cs="Arial" w:hint="eastAsia"/>
          <w:kern w:val="0"/>
          <w:sz w:val="24"/>
        </w:rPr>
        <w:t>介</w:t>
      </w:r>
      <w:r w:rsidRPr="005F1112">
        <w:rPr>
          <w:rFonts w:ascii="宋体" w:hAnsi="宋体" w:cs="Arial" w:hint="eastAsia"/>
          <w:kern w:val="0"/>
          <w:sz w:val="24"/>
        </w:rPr>
        <w:t>公告并报中国证监会备案。基金红利发放日距离收益分配基准日（即可供分配利润计算截止日）的时间不得超过15个工作日。基金收益分配方案公告后(依据具体方案的规定)，基金管理人就支付的现金红利向基金托管人发送划款指令，基金托管人按照基金管理人的指令及时进行分红资金的划付。</w:t>
      </w:r>
    </w:p>
    <w:p w14:paraId="1BDECEA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本基金收益分配原则中有关规定执行。</w:t>
      </w:r>
    </w:p>
    <w:p w14:paraId="4DAADD52"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89" w:name="_Toc124325894"/>
      <w:r w:rsidRPr="005F1112">
        <w:rPr>
          <w:rFonts w:ascii="宋体" w:hAnsi="宋体" w:hint="eastAsia"/>
          <w:sz w:val="30"/>
          <w:szCs w:val="30"/>
        </w:rPr>
        <w:t>十、基金信息披露</w:t>
      </w:r>
      <w:bookmarkEnd w:id="89"/>
    </w:p>
    <w:p w14:paraId="2EF967E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（一）保密义务</w:t>
      </w:r>
    </w:p>
    <w:p w14:paraId="3114164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6AA8A52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1.非因基金管理人和基金托管人的原因导致保密信息被披露、泄露或公开；</w:t>
      </w:r>
    </w:p>
    <w:p w14:paraId="62D565F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2.基金管理人和基金托管人为遵守和服从法院判决或裁定、仲裁裁决或中国证监会等监管机构的命令、决定所做出的信息披露或公开。</w:t>
      </w:r>
    </w:p>
    <w:p w14:paraId="2FB5C4E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（二）信息披露的内容</w:t>
      </w:r>
    </w:p>
    <w:p w14:paraId="6B4F4AF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的信息披露内容主要包括基金招募说明书、《基金合同》、托管协议、基金份额发售公告、基金募集情况、《基金合同》生效公告、基金资产净值、基金份额净值、基金份额申购、赎回价格、基金定期报告、包括基金年度报告、基金半年度报告和基金季度报告、临时报告、澄清公告、基金份额持有人大会决议、中国证监会规定的其他信息。基金年度报告需经具有从事证券相关业务资格的会计师事务所审计后，方可披露。</w:t>
      </w:r>
    </w:p>
    <w:p w14:paraId="5BFB2A3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（三）基金托管人和基金管理人在信息披露中的职责和信息披露程序</w:t>
      </w:r>
    </w:p>
    <w:p w14:paraId="4D90377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1.职责</w:t>
      </w:r>
    </w:p>
    <w:p w14:paraId="30AC606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5FFBA55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对于不需要基金托管人复核的信息，基金管理人在公告前应告知基金托管人。</w:t>
      </w:r>
    </w:p>
    <w:p w14:paraId="5402C47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基金管理人和基金托管人应积极配合、互相监督，保证其履行按照法定方式和限时披露的义务。</w:t>
      </w:r>
    </w:p>
    <w:p w14:paraId="0938A6A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14:paraId="5D5D69A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当出现下述情况时，基金管理人和基金托管人可暂停或延迟披露基金相关信息：</w:t>
      </w:r>
    </w:p>
    <w:p w14:paraId="63ABB6A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(1)不可抗力；</w:t>
      </w:r>
    </w:p>
    <w:p w14:paraId="4D8A6C2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(2)基金投资所涉及的证券交易市场遇法定节假日或因其他原因暂停营业时；</w:t>
      </w:r>
    </w:p>
    <w:p w14:paraId="5264AF7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(3)出现基金管理人认为属于会导致基金管理人不能出售或评估基金资产的紧急事故的任何情况；</w:t>
      </w:r>
    </w:p>
    <w:p w14:paraId="7BAC867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(4)法律法规、《基金合同》或中国证监会规定的情况。</w:t>
      </w:r>
    </w:p>
    <w:p w14:paraId="24AFE82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2.程序</w:t>
      </w:r>
    </w:p>
    <w:p w14:paraId="0B695D4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按有关规定须经基金托管人复核的信息披露文件，由基金管理人起草、并经基金托管人复核后由基金管理人公告。发生《基金合同》中规定需要披露的事项时，按《基金合同》规定公布。</w:t>
      </w:r>
    </w:p>
    <w:p w14:paraId="642B7EF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3.信息文本的存放</w:t>
      </w:r>
    </w:p>
    <w:p w14:paraId="73B1FF2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14:paraId="0E974575"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0" w:name="_Toc124325895"/>
      <w:r w:rsidRPr="005F1112">
        <w:rPr>
          <w:rFonts w:ascii="宋体" w:hAnsi="宋体" w:hint="eastAsia"/>
          <w:sz w:val="30"/>
          <w:szCs w:val="30"/>
        </w:rPr>
        <w:t>十一、基金费用</w:t>
      </w:r>
      <w:bookmarkEnd w:id="90"/>
    </w:p>
    <w:p w14:paraId="5C50406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（一）基金管理费的计提比例和计提方法</w:t>
      </w:r>
    </w:p>
    <w:p w14:paraId="0DC3209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本基金的管理费按前一日基金资产净值的1.5%年费率计提。管理费的计算方法如下：</w:t>
      </w:r>
    </w:p>
    <w:p w14:paraId="11C5CF5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H＝E×年管理费率÷当年天数</w:t>
      </w:r>
    </w:p>
    <w:p w14:paraId="6CAF326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H为每日应计提的基金管理费</w:t>
      </w:r>
    </w:p>
    <w:p w14:paraId="182ECEA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E为前一日的基金资产净值</w:t>
      </w:r>
    </w:p>
    <w:p w14:paraId="56B9A52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（二）基金托管费的计提比例和计提方法</w:t>
      </w:r>
    </w:p>
    <w:p w14:paraId="2B0242A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本基金的托管费按前一日基金资产净值的0.25%年费率计提。托管费的计算方法如下：</w:t>
      </w:r>
    </w:p>
    <w:p w14:paraId="10C4E1C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H＝E×年托管费率÷当年天数</w:t>
      </w:r>
    </w:p>
    <w:p w14:paraId="6C17787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H为每日应计提的基金托管费</w:t>
      </w:r>
    </w:p>
    <w:p w14:paraId="5B749AB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E为前一日的基金资产净值</w:t>
      </w:r>
    </w:p>
    <w:p w14:paraId="2360F8B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证券账户开户费用、证券期货交易结算费用、基金财产划拨支付的银行费用、账户维护费、《基金合同》生效后的信息披露费用、基金份额持有人大会费用、《基金合同》生效后与基金有关的会计师费和律师费等根据有关法律法规、《基金合同》及相应协议的规定，列入当期基金费用。</w:t>
      </w:r>
    </w:p>
    <w:p w14:paraId="5A33275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（四）不列入基金费用的项目</w:t>
      </w:r>
    </w:p>
    <w:p w14:paraId="7779867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14:paraId="225778A9" w14:textId="45D3DF33" w:rsidR="004049CF" w:rsidRPr="005F1112" w:rsidRDefault="004049CF" w:rsidP="008015A4">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（五）基金管理费和基金托管费的复核程序、支付方式和时间</w:t>
      </w:r>
    </w:p>
    <w:p w14:paraId="10BCB4E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1.复核程序</w:t>
      </w:r>
    </w:p>
    <w:p w14:paraId="3274BCA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基金托管人对基金管理人计提的基金管理费和基金托管费等，根据本托管协议和《基金合同》的有关规定进行复核。</w:t>
      </w:r>
    </w:p>
    <w:p w14:paraId="437688D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2.支付方式和时间</w:t>
      </w:r>
    </w:p>
    <w:p w14:paraId="356BA99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管理费、基金托管费每日计提，按月支付。由基金托管人根据与基金管理人核对一致的财务数据，自动在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7E5512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在首期支付基金管理费前，基金管理人应向托管人出具正式函件指定基金管理费的收款账户。基金管理人如需要变更此账户，应提前5个工作日向托管人出具书面的收款账户变更通知。</w:t>
      </w:r>
    </w:p>
    <w:p w14:paraId="20A9A3F3" w14:textId="6C268CE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w:t>
      </w:r>
      <w:r w:rsidR="008015A4" w:rsidRPr="005F1112">
        <w:rPr>
          <w:rFonts w:ascii="宋体" w:hAnsi="宋体" w:cs="Arial" w:hint="eastAsia"/>
          <w:kern w:val="0"/>
          <w:sz w:val="24"/>
        </w:rPr>
        <w:t>六</w:t>
      </w:r>
      <w:r w:rsidRPr="005F1112">
        <w:rPr>
          <w:rFonts w:ascii="宋体" w:hAnsi="宋体" w:cs="Arial" w:hint="eastAsia"/>
          <w:kern w:val="0"/>
          <w:sz w:val="24"/>
        </w:rPr>
        <w:t>）违规处理方式</w:t>
      </w:r>
    </w:p>
    <w:p w14:paraId="2703696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8F09E17"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1" w:name="_Toc124325896"/>
      <w:r w:rsidRPr="005F1112">
        <w:rPr>
          <w:rFonts w:ascii="宋体" w:hAnsi="宋体" w:hint="eastAsia"/>
          <w:sz w:val="30"/>
          <w:szCs w:val="30"/>
        </w:rPr>
        <w:t>十二、基金份额持有人名册的保管</w:t>
      </w:r>
      <w:bookmarkEnd w:id="91"/>
    </w:p>
    <w:p w14:paraId="51EDBF3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少于15年。如不能妥善保管，则按相关法规承担责任。</w:t>
      </w:r>
    </w:p>
    <w:p w14:paraId="28CE235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在基金托管人要求或编制半年报和年报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072E591C"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2" w:name="_Toc124325897"/>
      <w:r w:rsidRPr="005F1112">
        <w:rPr>
          <w:rFonts w:ascii="宋体" w:hAnsi="宋体" w:hint="eastAsia"/>
          <w:sz w:val="30"/>
          <w:szCs w:val="30"/>
        </w:rPr>
        <w:t>十三、基金有关文件档案的保存</w:t>
      </w:r>
      <w:bookmarkEnd w:id="92"/>
    </w:p>
    <w:p w14:paraId="181D49D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（一）档案保存</w:t>
      </w:r>
    </w:p>
    <w:p w14:paraId="36A749B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14:paraId="4AC41F0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（二）合同档案的建立</w:t>
      </w:r>
    </w:p>
    <w:p w14:paraId="60E6AA0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1.基金管理人签署重大合同文本后，应及时将合同文本正本送达基金托管人处。</w:t>
      </w:r>
    </w:p>
    <w:p w14:paraId="0C14C22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2.基金管理人应及时将与本基金账务处理、资金划拨等有关的合同、协议传真基金托管人。</w:t>
      </w:r>
    </w:p>
    <w:p w14:paraId="136836B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（三）变更与协助</w:t>
      </w:r>
    </w:p>
    <w:p w14:paraId="200701D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若基金管理人/基金托管人发生变更，未变更的一方有义务协助变更后的接任人接收相应文件。</w:t>
      </w:r>
    </w:p>
    <w:p w14:paraId="47DD566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（四）基金管理人和基金托管人应按各自职责完整保存原始凭证、记账凭证、基金账册、交易记录和重要合同等，承担保密义务并保存至少十五年以上。</w:t>
      </w:r>
    </w:p>
    <w:p w14:paraId="1148EFC9"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3" w:name="_Toc124325898"/>
      <w:r w:rsidRPr="005F1112">
        <w:rPr>
          <w:rFonts w:ascii="宋体" w:hAnsi="宋体" w:hint="eastAsia"/>
          <w:sz w:val="30"/>
          <w:szCs w:val="30"/>
        </w:rPr>
        <w:t>十四、基金管理人和基金托管人的更换</w:t>
      </w:r>
      <w:bookmarkEnd w:id="93"/>
    </w:p>
    <w:p w14:paraId="3623AC3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（一）基金管理人职责终止的情形</w:t>
      </w:r>
    </w:p>
    <w:p w14:paraId="11937F2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1.基金管理人职责终止的情形</w:t>
      </w:r>
    </w:p>
    <w:p w14:paraId="62827AB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有下列情形之一的，基金管理人职责终止：</w:t>
      </w:r>
    </w:p>
    <w:p w14:paraId="42ABE15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(1)被依法取消基金管理资格；</w:t>
      </w:r>
    </w:p>
    <w:p w14:paraId="56F03B9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(2)依法解散、被依法撤销或被依法宣告破产；</w:t>
      </w:r>
    </w:p>
    <w:p w14:paraId="592AF52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(3)被基金份额持有人大会解任；</w:t>
      </w:r>
    </w:p>
    <w:p w14:paraId="600BEF8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(4)法律法规及中国证监会规定的和《基金合同》约定的其他情形。</w:t>
      </w:r>
    </w:p>
    <w:p w14:paraId="44F1BCE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2.基金管理人的更换程序</w:t>
      </w:r>
    </w:p>
    <w:p w14:paraId="08E8CB1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更换基金管理人必须依照如下程序进行：</w:t>
      </w:r>
    </w:p>
    <w:p w14:paraId="65C46E7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(1)提名：新任基金管理人由基金托管人或由单独或合计持有10%以上(含10%)基金份额的基金份额持有人提名；</w:t>
      </w:r>
    </w:p>
    <w:p w14:paraId="3BCF037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(2)决议：基金份额持有人大会在基金管理人职责终止后6个月内对被提名的基金管理人形成决议，该决议需经参加大会的基金份额持有人所持表决权的三分之二以上(含三分之二)表决通过；</w:t>
      </w:r>
    </w:p>
    <w:p w14:paraId="0FC5524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(3)临时基金管理人：新任基金管理人产生之前，由中国证监会指定临时基金管理人；</w:t>
      </w:r>
    </w:p>
    <w:p w14:paraId="1FF1A03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(4)备案：基金份额持有人大会选任基金管理人的决议须报中国证监会备案；</w:t>
      </w:r>
    </w:p>
    <w:p w14:paraId="139D447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(5)公告：基金管理人更换后，由基金托管人在更换基金管理人的基金份额持有人大会决议生效后2个工作日内在指定媒介公告；</w:t>
      </w:r>
    </w:p>
    <w:p w14:paraId="1357555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p>
    <w:p w14:paraId="18714CC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(7)审计：基金管理人职责终止的，应当按照法律法规规定聘请会计师事务所对基金财产进行审计，并将审计结果予以公告，同时报中国证监会备案；</w:t>
      </w:r>
    </w:p>
    <w:p w14:paraId="4D9B899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(8)基金名称变更：基金管理人更换后，如果原任或新任基金管理人要求，应按其要求替换或删除基金名称中与原基金管理人有关的名称字样。</w:t>
      </w:r>
    </w:p>
    <w:p w14:paraId="62FB60F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（二）基金托管人职责终止的情形</w:t>
      </w:r>
    </w:p>
    <w:p w14:paraId="60C4CE0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1.基金托管人职责终止的情形</w:t>
      </w:r>
    </w:p>
    <w:p w14:paraId="7920057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有下列情形之一的，基金托管人职责终止：</w:t>
      </w:r>
    </w:p>
    <w:p w14:paraId="5C7F28F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(1)被依法取消基金托管资格；</w:t>
      </w:r>
    </w:p>
    <w:p w14:paraId="155320C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(2)依法解散、被依法撤销或被依法宣告破产；</w:t>
      </w:r>
    </w:p>
    <w:p w14:paraId="311D9A6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(3)被基金份额持有人大会解任；</w:t>
      </w:r>
    </w:p>
    <w:p w14:paraId="57BA5EE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(4)法律法规及中国证监会规定的和《基金合同》约定的其他情形。</w:t>
      </w:r>
    </w:p>
    <w:p w14:paraId="23D6AD5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2.基金托管人的更换程序</w:t>
      </w:r>
    </w:p>
    <w:p w14:paraId="7DC3AC2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(1)提名：新任基金托管人由基金管理人或由单独或合计持有10%以上(含10%)基金份额的基金份额持有人提名；</w:t>
      </w:r>
    </w:p>
    <w:p w14:paraId="56B0490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(2)决议：基金份额持有人大会在基金托管人职责终止后6个月内对被提名的基金托管人形成决议，该决议需经参加大会的基金份额持有人所持表决权的三分之二以上(含三分之二)表决通过；</w:t>
      </w:r>
    </w:p>
    <w:p w14:paraId="43EF85B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(3)临时基金托管人：新任基金托管人产生之前，由中国证监会指定临时基金托管人；</w:t>
      </w:r>
    </w:p>
    <w:p w14:paraId="56E978F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(4)备案：基金份额持有人大会更换基金托管人的决议须报中国证监会备案；</w:t>
      </w:r>
    </w:p>
    <w:p w14:paraId="55D2CAD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(5)公告：基金托管人更换后，由基金管理人在更换基金托管人的基金份额持有人大会决议生效后 2个工作日内在指定媒介公告；</w:t>
      </w:r>
    </w:p>
    <w:p w14:paraId="12BC608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w:t>
      </w:r>
    </w:p>
    <w:p w14:paraId="5FD05E1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(7)审计：基金托管人职责终止的，应当按照法律法规规定聘请会计师事务所对基金财产进行审计，并将审计结果予以公告，同时报中国证监会备案。</w:t>
      </w:r>
    </w:p>
    <w:p w14:paraId="57B61E3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（三）基金管理人与基金托管人同时更换的条件和程序</w:t>
      </w:r>
    </w:p>
    <w:p w14:paraId="00B16AD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1.提名：如果基金管理人和基金托管人同时更换，由单独或合计持有基金总份额10%以上(含10%)的基金份额持有人提名新的基金管理人和基金托管人；</w:t>
      </w:r>
    </w:p>
    <w:p w14:paraId="315B70B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2.基金管理人和基金托管人的更换分别按上述程序进行；</w:t>
      </w:r>
    </w:p>
    <w:p w14:paraId="1BFF534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3.公告：新任基金管理人和新任基金托管人应在更换基金管理人和基金托管人的基金份额持有人大会决议生效后2个工作日内在指定媒介上联合公告。</w:t>
      </w:r>
    </w:p>
    <w:p w14:paraId="2D2A9E6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新任或临时基金管理人接收基金管理业务或新任或临时基金托管人接收基金财产和基金托管业务前，原基金管理人或原基金托管人应继续履行相关职责，并保证不做出对基金份额持有人的利益造成损害的行为。</w:t>
      </w:r>
    </w:p>
    <w:p w14:paraId="570AA752"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4" w:name="_Toc124325899"/>
      <w:r w:rsidRPr="005F1112">
        <w:rPr>
          <w:rFonts w:ascii="宋体" w:hAnsi="宋体" w:hint="eastAsia"/>
          <w:sz w:val="30"/>
          <w:szCs w:val="30"/>
        </w:rPr>
        <w:t>十五、禁止行为</w:t>
      </w:r>
      <w:bookmarkEnd w:id="94"/>
    </w:p>
    <w:p w14:paraId="4EC1E03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本协议当事人禁止从事的行为，包括但不限于：</w:t>
      </w:r>
    </w:p>
    <w:p w14:paraId="7EC2D9D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（一）基金管理人、基金托管人将其固有财产或者他人财产混同于基金财产从事证券投资。</w:t>
      </w:r>
    </w:p>
    <w:p w14:paraId="142D1595"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（二）基金管理人不公平地对待其管理的不同基金财产，基金托管人不公平地对待其托管的不同基金财产。</w:t>
      </w:r>
    </w:p>
    <w:p w14:paraId="20A1B93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（三）基金管理人、基金托管人利用基金财产为基金份额持有人以外的第三人牟取利益。</w:t>
      </w:r>
    </w:p>
    <w:p w14:paraId="774C374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（四）基金管理人、基金托管人向基金份额持有人违规承诺收益或者承担损失。</w:t>
      </w:r>
    </w:p>
    <w:p w14:paraId="41F1314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（五）基金管理人、基金托管人对他人泄漏基金运作和管理过程中任何尚未按法律法规规定的方式公开披露的信息。</w:t>
      </w:r>
    </w:p>
    <w:p w14:paraId="5CFD2BB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（六）基金管理人在没有充足资金的情况下向基金托管人发出投资指令和赎回、分红资金的划拨指令，或违规向基金托管人发出指令。</w:t>
      </w:r>
    </w:p>
    <w:p w14:paraId="7782F60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（七）基金管理人、基金托管人在行政上、财务上不独立</w:t>
      </w:r>
      <w:r w:rsidR="006F6C9B" w:rsidRPr="005F1112">
        <w:rPr>
          <w:rFonts w:ascii="宋体" w:hAnsi="宋体" w:cs="Arial" w:hint="eastAsia"/>
          <w:kern w:val="0"/>
          <w:sz w:val="24"/>
        </w:rPr>
        <w:t>，</w:t>
      </w:r>
      <w:r w:rsidRPr="005F1112">
        <w:rPr>
          <w:rFonts w:ascii="宋体" w:hAnsi="宋体" w:cs="Arial" w:hint="eastAsia"/>
          <w:kern w:val="0"/>
          <w:sz w:val="24"/>
        </w:rPr>
        <w:t>其高级管理人员和其他从业人员相互兼职。</w:t>
      </w:r>
    </w:p>
    <w:p w14:paraId="76254F9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（八）基金托管人私自动用或处分基金财产，根据基金管理人的合法指令、《基金合同》或托管协议的规定进行处分的除外。</w:t>
      </w:r>
    </w:p>
    <w:p w14:paraId="106C61F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九）基金财产用于下列投资或者活动：1.承销证券；2.违反规定向他人贷款或者提供担保；3.从事承担无限责任的投资；4.买卖其他基金份额，但是国务院证券监督管理机构另有规定的除外；5.向其基金管理人、基金托管人出资；6.从事内幕交易、操纵证券交易价格及其他不正当的证券交易活动；7.法律、行政法规和国务院证券监督管理机构规定禁止的其他活动。法律法规或监管部门取消上述限制，如适用于本基金，则本基金投资不再受相关限制。</w:t>
      </w:r>
    </w:p>
    <w:p w14:paraId="28F6835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（十）法律法规和《基金合同》禁止的其他行为，以及依照法律、行政法规有关规定，由国务院证券监督管理机构规定禁止基金管理人、基金托管人从事的其他行为。</w:t>
      </w:r>
    </w:p>
    <w:p w14:paraId="141A69B2"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5" w:name="_Toc124325900"/>
      <w:r w:rsidRPr="005F1112">
        <w:rPr>
          <w:rFonts w:ascii="宋体" w:hAnsi="宋体" w:hint="eastAsia"/>
          <w:sz w:val="30"/>
          <w:szCs w:val="30"/>
        </w:rPr>
        <w:t>十六、托管协议的变更、终止与基金财产的清算</w:t>
      </w:r>
      <w:bookmarkEnd w:id="95"/>
    </w:p>
    <w:p w14:paraId="54557C2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（一）托管协议的变更程序</w:t>
      </w:r>
    </w:p>
    <w:p w14:paraId="6E88974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本协议双方当事人经协商一致，可以对协议进行修改。修改后的新协议，其内容不得与《基金合同》的规定有任何冲突。基金托管协议的变更报中国证监会备案或注册。</w:t>
      </w:r>
    </w:p>
    <w:p w14:paraId="0920074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（二）托管协议终止的情形</w:t>
      </w:r>
    </w:p>
    <w:p w14:paraId="2CC35D0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1.《基金合同》终止；</w:t>
      </w:r>
    </w:p>
    <w:p w14:paraId="5DD568A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2.基金托管人解散、依法被撤销、破产或由其他基金托管人接管基金资产；</w:t>
      </w:r>
    </w:p>
    <w:p w14:paraId="5F1DB47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3.基金管理人解散、依法被撤销、破产或由其他基金管理人接管基金管理权；</w:t>
      </w:r>
    </w:p>
    <w:p w14:paraId="11A0866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4.发生法律法规或《基金合同》规定的终止事项。</w:t>
      </w:r>
    </w:p>
    <w:p w14:paraId="5651FDF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（三）基金财产的清算</w:t>
      </w:r>
    </w:p>
    <w:p w14:paraId="22886B3C"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1.基金财产清算小组：自出现《基金合同》终止事由之日起30个工作日内成立清算小组，基金管理人组织基金财产清算小组并在中国证监会的监督下进行基金清算。</w:t>
      </w:r>
    </w:p>
    <w:p w14:paraId="66869E5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lastRenderedPageBreak/>
        <w:t>2.基金财产清算小组组成：基金财产清算小组成员由基金管理人、基金托管人、具有从事证券相关业务资格的注册会计师、律师以及中国证监会指定的人员组成。基金财产清算小组可以聘用必要的工作人员。</w:t>
      </w:r>
    </w:p>
    <w:p w14:paraId="557606C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3.基金财产清算小组职责：基金财产清算小组负责基金财产的保管、清理、估价、变现和分配。基金财产清算小组可以依法进行必要的民事活动。</w:t>
      </w:r>
    </w:p>
    <w:p w14:paraId="2BEF454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4.基金财产清算程序：</w:t>
      </w:r>
    </w:p>
    <w:p w14:paraId="1541A31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(1)《基金合同》终止情形出现时，由基金财产清算小组统一接管基金；</w:t>
      </w:r>
    </w:p>
    <w:p w14:paraId="121A6B38"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(2)对基金财产和债权债务进行清理和确认；</w:t>
      </w:r>
    </w:p>
    <w:p w14:paraId="1A90103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(3)对基金财产进行估值和变现；</w:t>
      </w:r>
    </w:p>
    <w:p w14:paraId="23CB1C1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(4)制作清算报告；</w:t>
      </w:r>
    </w:p>
    <w:p w14:paraId="42029AB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(5)聘请会计师事务所对清算报告进行外部审计，聘请律师事务所对清算报告出具法律意见书；</w:t>
      </w:r>
    </w:p>
    <w:p w14:paraId="78F5527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(6)将清算结果报中国证监会备案并公告；</w:t>
      </w:r>
    </w:p>
    <w:p w14:paraId="7668803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(7)对基金财产进行分配。</w:t>
      </w:r>
    </w:p>
    <w:p w14:paraId="220C46B4"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5.基金财产清算的期限为不超过6个月。</w:t>
      </w:r>
    </w:p>
    <w:p w14:paraId="4C013730"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6.清算费用</w:t>
      </w:r>
    </w:p>
    <w:p w14:paraId="65AF176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清算费用是指基金财产清算小组在进行基金清算过程中发生的所有合理费用，清算费用由基金财产清算小组优先从基金财产中支付。</w:t>
      </w:r>
    </w:p>
    <w:p w14:paraId="0922E5D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7.基金财产清算剩余资产的分配：</w:t>
      </w:r>
    </w:p>
    <w:p w14:paraId="1AD89E9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依据基金财产清算的分配方案，将基金财产清算后的全部剩余资产扣除基金财产清算费用、交纳所欠税款并清偿基金债务后，按基金份额持有人持有的基金份额比例进行分配。</w:t>
      </w:r>
    </w:p>
    <w:p w14:paraId="0348916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8.基金财产清算的公告</w:t>
      </w:r>
    </w:p>
    <w:p w14:paraId="11FFA72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清算过程中的有关重大事项须及时公告；基金财产清算报告经会计师事务所审计、并由律师事务所出具法律意见书后，报中国证监会备案并公告。基金财产清算公告于基金财产清算报告报中国证监会备案后5个工作日内由基金财产清算小组进行公告。</w:t>
      </w:r>
    </w:p>
    <w:p w14:paraId="17BCC251"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9.基金财产清算账册及文件的保存</w:t>
      </w:r>
    </w:p>
    <w:p w14:paraId="3F774F8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基金财产清算账册及有关文件由基金托管人保存15年以上。</w:t>
      </w:r>
    </w:p>
    <w:p w14:paraId="5F33C1EB"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6" w:name="_Toc124325901"/>
      <w:r w:rsidRPr="005F1112">
        <w:rPr>
          <w:rFonts w:ascii="宋体" w:hAnsi="宋体" w:hint="eastAsia"/>
          <w:sz w:val="30"/>
          <w:szCs w:val="30"/>
        </w:rPr>
        <w:lastRenderedPageBreak/>
        <w:t>十七、违约责任</w:t>
      </w:r>
      <w:bookmarkEnd w:id="96"/>
    </w:p>
    <w:p w14:paraId="5FA32B3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（一）基金管理人、基金托管人不履行本协议或履行本协议不符合约定的，应当承担违约责任。</w:t>
      </w:r>
    </w:p>
    <w:p w14:paraId="11BDA47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335B27A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4B0CCA8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1.不可抗力；</w:t>
      </w:r>
    </w:p>
    <w:p w14:paraId="44C31C0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2.基金管理人、基金托管人按照当时有效的法律法规或中国证监会的规定作为或不作为而造成的损失等；</w:t>
      </w:r>
    </w:p>
    <w:p w14:paraId="0C16F0BE"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3.在没有过错的情况下，基金管理人由于按照《基金合同》规定的投资原则投资或不投资造成的直接损失或潜在损失等；</w:t>
      </w:r>
    </w:p>
    <w:p w14:paraId="671E655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4.非因基金管理人、基金托管人的故意或重大过失造成的计算机系统故障、网络故障、通讯故障、电力故障、计算机病毒攻击及其它意外事故所导致的损失等。</w:t>
      </w:r>
    </w:p>
    <w:p w14:paraId="14229CE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0EEA7C7A"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（五）违约行为虽已发生，但本托管协议能够继续履行的，在最大限度地保护基金份额持有人利益的前提下，基金管理人和基金托管人应当继续履行本协议。</w:t>
      </w:r>
    </w:p>
    <w:p w14:paraId="54B6020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14:paraId="657898BD"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7" w:name="_Toc124325902"/>
      <w:r w:rsidRPr="005F1112">
        <w:rPr>
          <w:rFonts w:ascii="宋体" w:hAnsi="宋体" w:hint="eastAsia"/>
          <w:sz w:val="30"/>
          <w:szCs w:val="30"/>
        </w:rPr>
        <w:lastRenderedPageBreak/>
        <w:t>十八、争议解决方式</w:t>
      </w:r>
      <w:bookmarkEnd w:id="97"/>
    </w:p>
    <w:p w14:paraId="5E886E77"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和律师费由败诉方承担。</w:t>
      </w:r>
    </w:p>
    <w:p w14:paraId="3302A2F9"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争议处理期间，双方当事人应恪守基金管理人和基金托管人职责，各自继续忠实、勤勉、尽责地履行《基金合同》和本托管协议规定的义务，维护基金份额持有人的合法权益。</w:t>
      </w:r>
    </w:p>
    <w:p w14:paraId="0732F8D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本协议受中国法律管辖。</w:t>
      </w:r>
    </w:p>
    <w:p w14:paraId="4980DD11"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8" w:name="_Toc124325903"/>
      <w:r w:rsidRPr="005F1112">
        <w:rPr>
          <w:rFonts w:ascii="宋体" w:hAnsi="宋体" w:hint="eastAsia"/>
          <w:sz w:val="30"/>
          <w:szCs w:val="30"/>
        </w:rPr>
        <w:t>十九、托管协议的效力</w:t>
      </w:r>
      <w:bookmarkEnd w:id="98"/>
    </w:p>
    <w:p w14:paraId="6FADBF4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双方对托管协议的效力约定如下：</w:t>
      </w:r>
    </w:p>
    <w:p w14:paraId="778FC20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一）基金管理人在向中国证监会申请注册本基金时提交的托管协议草案，应经托管协议当事人双方盖章以及双方法定代表人或授权代表签字（或盖章），协议当事人双方根据中国证监会的意见修改托管协议草案。托管协议以中国证监会注册的文本为正式文本。</w:t>
      </w:r>
    </w:p>
    <w:p w14:paraId="6114AD5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（二）托管协议自《基金合同》生效之日起生效。托管协议的有效期自其生效之日起至基金财产清算结果报中国证监会备案并公告之日止。</w:t>
      </w:r>
    </w:p>
    <w:p w14:paraId="714BA29F"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（三）托管协议自生效之日起对托管协议当事人具有同等的法律约束力。</w:t>
      </w:r>
    </w:p>
    <w:p w14:paraId="7DAAA5CB"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（四）本协议一式六份，协议双方各持二份，上报监管机构二份，每份具有同等的法律效力。</w:t>
      </w:r>
    </w:p>
    <w:p w14:paraId="16A75C80"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99" w:name="_Toc124325904"/>
      <w:r w:rsidRPr="005F1112">
        <w:rPr>
          <w:rFonts w:ascii="宋体" w:hAnsi="宋体" w:hint="eastAsia"/>
          <w:sz w:val="30"/>
          <w:szCs w:val="30"/>
        </w:rPr>
        <w:t>二十、其他事项</w:t>
      </w:r>
      <w:bookmarkEnd w:id="99"/>
    </w:p>
    <w:p w14:paraId="2D9468CD"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如发生有权司法机关依法冻结基金份额持有人的基金份额时，基金管理人应予以配合，承担司法协助义务。</w:t>
      </w:r>
    </w:p>
    <w:p w14:paraId="31855332"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除本协议有明确定义外，本协议的用语定义适用《基金合同》的约定。本协议未尽事宜，当事人依据《基金合同》、有关法律法规等规定协商办理。</w:t>
      </w:r>
    </w:p>
    <w:p w14:paraId="62D56D05" w14:textId="77777777" w:rsidR="004049CF" w:rsidRPr="005F1112" w:rsidRDefault="004049CF" w:rsidP="0088091D">
      <w:pPr>
        <w:pStyle w:val="1"/>
        <w:spacing w:beforeLines="50" w:before="156" w:afterLines="50" w:after="156" w:line="480" w:lineRule="auto"/>
        <w:rPr>
          <w:rFonts w:ascii="宋体" w:hAnsi="宋体"/>
          <w:sz w:val="30"/>
          <w:szCs w:val="30"/>
        </w:rPr>
      </w:pPr>
      <w:bookmarkStart w:id="100" w:name="_Toc124325905"/>
      <w:r w:rsidRPr="005F1112">
        <w:rPr>
          <w:rFonts w:ascii="宋体" w:hAnsi="宋体" w:hint="eastAsia"/>
          <w:sz w:val="30"/>
          <w:szCs w:val="30"/>
        </w:rPr>
        <w:lastRenderedPageBreak/>
        <w:t>二十一、托管协议的签订</w:t>
      </w:r>
      <w:bookmarkEnd w:id="100"/>
    </w:p>
    <w:p w14:paraId="30C43A13"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pPr>
      <w:r w:rsidRPr="005F1112">
        <w:rPr>
          <w:rFonts w:ascii="宋体" w:hAnsi="宋体" w:cs="Arial" w:hint="eastAsia"/>
          <w:kern w:val="0"/>
          <w:sz w:val="24"/>
        </w:rPr>
        <w:t>本协议双方法定代表人或授权代表签章、签订地、签订日</w:t>
      </w:r>
    </w:p>
    <w:p w14:paraId="72F4BBE6" w14:textId="77777777" w:rsidR="004049CF" w:rsidRPr="005F1112" w:rsidRDefault="004049CF" w:rsidP="0088091D">
      <w:pPr>
        <w:widowControl/>
        <w:adjustRightInd w:val="0"/>
        <w:snapToGrid w:val="0"/>
        <w:spacing w:line="360" w:lineRule="auto"/>
        <w:ind w:firstLineChars="200" w:firstLine="480"/>
        <w:rPr>
          <w:rFonts w:ascii="宋体" w:hAnsi="宋体" w:cs="Arial"/>
          <w:kern w:val="0"/>
          <w:sz w:val="24"/>
        </w:rPr>
        <w:sectPr w:rsidR="004049CF" w:rsidRPr="005F1112">
          <w:headerReference w:type="default" r:id="rId12"/>
          <w:pgSz w:w="11906" w:h="16838"/>
          <w:pgMar w:top="1418" w:right="1701" w:bottom="1418" w:left="1701" w:header="851" w:footer="992" w:gutter="0"/>
          <w:cols w:space="720"/>
          <w:docGrid w:type="lines" w:linePitch="312"/>
        </w:sectPr>
      </w:pPr>
    </w:p>
    <w:p w14:paraId="31D94DF5" w14:textId="5F1038D7" w:rsidR="004049CF" w:rsidRPr="005F1112" w:rsidRDefault="004049CF" w:rsidP="004049CF">
      <w:pPr>
        <w:spacing w:line="360" w:lineRule="auto"/>
        <w:ind w:right="26"/>
        <w:rPr>
          <w:rFonts w:ascii="宋体" w:hAnsi="宋体"/>
          <w:sz w:val="24"/>
        </w:rPr>
      </w:pPr>
      <w:r w:rsidRPr="005F1112">
        <w:rPr>
          <w:rFonts w:ascii="宋体" w:hAnsi="宋体" w:hint="eastAsia"/>
          <w:sz w:val="24"/>
        </w:rPr>
        <w:lastRenderedPageBreak/>
        <w:t>本页无正文，为《长盛</w:t>
      </w:r>
      <w:r w:rsidR="008015A4" w:rsidRPr="005F1112">
        <w:rPr>
          <w:rFonts w:ascii="宋体" w:hAnsi="宋体" w:hint="eastAsia"/>
          <w:sz w:val="24"/>
        </w:rPr>
        <w:t>创新驱动</w:t>
      </w:r>
      <w:r w:rsidRPr="005F1112">
        <w:rPr>
          <w:rFonts w:ascii="宋体" w:hAnsi="宋体" w:hint="eastAsia"/>
          <w:sz w:val="24"/>
        </w:rPr>
        <w:t>灵活配置混合型证券投资基金托管协议》的签字盖章页。</w:t>
      </w:r>
    </w:p>
    <w:p w14:paraId="78907CF4" w14:textId="77777777" w:rsidR="004049CF" w:rsidRPr="005F1112" w:rsidRDefault="004049CF" w:rsidP="004049CF">
      <w:pPr>
        <w:spacing w:line="360" w:lineRule="auto"/>
        <w:rPr>
          <w:rFonts w:ascii="宋体" w:hAnsi="宋体"/>
          <w:sz w:val="24"/>
        </w:rPr>
      </w:pPr>
    </w:p>
    <w:p w14:paraId="5A168B62" w14:textId="77777777" w:rsidR="00F245D1" w:rsidRPr="005F1112" w:rsidRDefault="00F245D1" w:rsidP="004049CF">
      <w:pPr>
        <w:spacing w:line="360" w:lineRule="auto"/>
        <w:rPr>
          <w:rFonts w:ascii="宋体" w:hAnsi="宋体"/>
          <w:sz w:val="24"/>
        </w:rPr>
      </w:pPr>
    </w:p>
    <w:p w14:paraId="2DEE1A46" w14:textId="77777777" w:rsidR="004049CF" w:rsidRPr="005F1112" w:rsidRDefault="004049CF" w:rsidP="004049CF">
      <w:pPr>
        <w:spacing w:line="360" w:lineRule="auto"/>
        <w:rPr>
          <w:rFonts w:ascii="宋体" w:hAnsi="宋体"/>
          <w:sz w:val="24"/>
        </w:rPr>
      </w:pPr>
    </w:p>
    <w:p w14:paraId="2272C9F2" w14:textId="77777777" w:rsidR="004049CF" w:rsidRPr="005F1112" w:rsidRDefault="004049CF" w:rsidP="004049CF">
      <w:pPr>
        <w:spacing w:line="360" w:lineRule="auto"/>
        <w:ind w:right="26"/>
        <w:rPr>
          <w:rFonts w:ascii="宋体" w:hAnsi="宋体"/>
          <w:sz w:val="24"/>
        </w:rPr>
      </w:pPr>
      <w:r w:rsidRPr="005F1112">
        <w:rPr>
          <w:rFonts w:ascii="宋体" w:hAnsi="宋体" w:hint="eastAsia"/>
          <w:sz w:val="24"/>
        </w:rPr>
        <w:t>基金管理人：长盛基金管理有限公司（盖章）</w:t>
      </w:r>
    </w:p>
    <w:p w14:paraId="28BA0C93" w14:textId="77777777" w:rsidR="004049CF" w:rsidRPr="005F1112" w:rsidRDefault="004049CF" w:rsidP="004049CF">
      <w:pPr>
        <w:spacing w:line="360" w:lineRule="auto"/>
        <w:ind w:right="26"/>
        <w:rPr>
          <w:rFonts w:ascii="宋体" w:hAnsi="宋体"/>
          <w:sz w:val="24"/>
        </w:rPr>
      </w:pPr>
    </w:p>
    <w:p w14:paraId="04813E12" w14:textId="77777777" w:rsidR="004049CF" w:rsidRPr="005F1112" w:rsidRDefault="004049CF" w:rsidP="004049CF">
      <w:pPr>
        <w:spacing w:line="360" w:lineRule="auto"/>
        <w:ind w:right="26"/>
        <w:rPr>
          <w:rFonts w:ascii="宋体" w:hAnsi="宋体"/>
          <w:sz w:val="24"/>
        </w:rPr>
      </w:pPr>
    </w:p>
    <w:p w14:paraId="6D36E3C5" w14:textId="77777777" w:rsidR="004049CF" w:rsidRPr="005F1112" w:rsidRDefault="004049CF" w:rsidP="004049CF">
      <w:pPr>
        <w:spacing w:line="360" w:lineRule="auto"/>
        <w:ind w:right="26"/>
        <w:rPr>
          <w:rFonts w:ascii="宋体" w:hAnsi="宋体"/>
          <w:sz w:val="24"/>
        </w:rPr>
      </w:pPr>
      <w:r w:rsidRPr="005F1112">
        <w:rPr>
          <w:rFonts w:ascii="宋体" w:hAnsi="宋体" w:hint="eastAsia"/>
          <w:sz w:val="24"/>
        </w:rPr>
        <w:t xml:space="preserve">法定代表人或授权代表：                   </w:t>
      </w:r>
    </w:p>
    <w:p w14:paraId="6DCCF559" w14:textId="77777777" w:rsidR="004049CF" w:rsidRPr="005F1112" w:rsidRDefault="004049CF" w:rsidP="004049CF">
      <w:pPr>
        <w:spacing w:line="360" w:lineRule="auto"/>
        <w:ind w:right="26"/>
        <w:rPr>
          <w:rFonts w:ascii="宋体" w:hAnsi="宋体"/>
          <w:sz w:val="24"/>
        </w:rPr>
      </w:pPr>
    </w:p>
    <w:p w14:paraId="6AED500A" w14:textId="77777777" w:rsidR="004049CF" w:rsidRPr="005F1112" w:rsidRDefault="004049CF" w:rsidP="004049CF">
      <w:pPr>
        <w:spacing w:line="360" w:lineRule="auto"/>
        <w:ind w:right="26"/>
        <w:rPr>
          <w:rFonts w:ascii="宋体" w:hAnsi="宋体"/>
          <w:sz w:val="24"/>
        </w:rPr>
      </w:pPr>
    </w:p>
    <w:p w14:paraId="2D248173" w14:textId="77777777" w:rsidR="00F245D1" w:rsidRPr="005F1112" w:rsidRDefault="00F245D1" w:rsidP="004049CF">
      <w:pPr>
        <w:spacing w:line="360" w:lineRule="auto"/>
        <w:ind w:right="26"/>
        <w:rPr>
          <w:rFonts w:ascii="宋体" w:hAnsi="宋体"/>
          <w:sz w:val="24"/>
        </w:rPr>
      </w:pPr>
    </w:p>
    <w:p w14:paraId="6C86EF51" w14:textId="77777777" w:rsidR="00F245D1" w:rsidRPr="005F1112" w:rsidRDefault="00F245D1" w:rsidP="004049CF">
      <w:pPr>
        <w:spacing w:line="360" w:lineRule="auto"/>
        <w:ind w:right="26"/>
        <w:rPr>
          <w:rFonts w:ascii="宋体" w:hAnsi="宋体"/>
          <w:sz w:val="24"/>
        </w:rPr>
      </w:pPr>
    </w:p>
    <w:p w14:paraId="0F97EEC4" w14:textId="77777777" w:rsidR="00F245D1" w:rsidRPr="005F1112" w:rsidRDefault="00F245D1" w:rsidP="004049CF">
      <w:pPr>
        <w:spacing w:line="360" w:lineRule="auto"/>
        <w:ind w:right="26"/>
        <w:rPr>
          <w:rFonts w:ascii="宋体" w:hAnsi="宋体"/>
          <w:sz w:val="24"/>
        </w:rPr>
      </w:pPr>
    </w:p>
    <w:p w14:paraId="52AF7DBD" w14:textId="77777777" w:rsidR="00F245D1" w:rsidRPr="005F1112" w:rsidRDefault="00F245D1" w:rsidP="004049CF">
      <w:pPr>
        <w:spacing w:line="360" w:lineRule="auto"/>
        <w:ind w:right="26"/>
        <w:rPr>
          <w:rFonts w:ascii="宋体" w:hAnsi="宋体"/>
          <w:sz w:val="24"/>
        </w:rPr>
      </w:pPr>
    </w:p>
    <w:p w14:paraId="31779FC4" w14:textId="77777777" w:rsidR="004049CF" w:rsidRPr="005F1112" w:rsidRDefault="004049CF" w:rsidP="004049CF">
      <w:pPr>
        <w:spacing w:line="360" w:lineRule="auto"/>
        <w:ind w:right="26"/>
        <w:rPr>
          <w:rFonts w:ascii="宋体" w:hAnsi="宋体"/>
          <w:sz w:val="24"/>
        </w:rPr>
      </w:pPr>
    </w:p>
    <w:p w14:paraId="5538EF74" w14:textId="77777777" w:rsidR="004049CF" w:rsidRPr="005F1112" w:rsidRDefault="004049CF" w:rsidP="004049CF">
      <w:pPr>
        <w:spacing w:line="360" w:lineRule="auto"/>
        <w:ind w:right="26"/>
        <w:rPr>
          <w:rFonts w:ascii="宋体" w:hAnsi="宋体"/>
          <w:sz w:val="24"/>
        </w:rPr>
      </w:pPr>
      <w:r w:rsidRPr="005F1112">
        <w:rPr>
          <w:rFonts w:ascii="宋体" w:hAnsi="宋体" w:hint="eastAsia"/>
          <w:sz w:val="24"/>
        </w:rPr>
        <w:t>基金托管人：中国建设银行股份有限公司（盖章）</w:t>
      </w:r>
    </w:p>
    <w:p w14:paraId="04471966" w14:textId="77777777" w:rsidR="004049CF" w:rsidRPr="005F1112" w:rsidRDefault="004049CF" w:rsidP="004049CF">
      <w:pPr>
        <w:spacing w:line="360" w:lineRule="auto"/>
        <w:ind w:right="26"/>
        <w:rPr>
          <w:rFonts w:ascii="宋体" w:hAnsi="宋体"/>
          <w:sz w:val="24"/>
        </w:rPr>
      </w:pPr>
    </w:p>
    <w:p w14:paraId="36A612E1" w14:textId="77777777" w:rsidR="004049CF" w:rsidRPr="005F1112" w:rsidRDefault="004049CF" w:rsidP="004049CF">
      <w:pPr>
        <w:spacing w:line="360" w:lineRule="auto"/>
        <w:ind w:right="26"/>
        <w:rPr>
          <w:rFonts w:ascii="宋体" w:hAnsi="宋体"/>
          <w:sz w:val="24"/>
        </w:rPr>
      </w:pPr>
    </w:p>
    <w:p w14:paraId="1C2F1DC1" w14:textId="77777777" w:rsidR="004049CF" w:rsidRPr="005F1112" w:rsidRDefault="004049CF" w:rsidP="004049CF">
      <w:pPr>
        <w:spacing w:line="360" w:lineRule="auto"/>
        <w:ind w:right="26"/>
        <w:rPr>
          <w:rFonts w:ascii="宋体" w:hAnsi="宋体"/>
          <w:sz w:val="24"/>
        </w:rPr>
      </w:pPr>
      <w:r w:rsidRPr="005F1112">
        <w:rPr>
          <w:rFonts w:ascii="宋体" w:hAnsi="宋体" w:hint="eastAsia"/>
          <w:sz w:val="24"/>
        </w:rPr>
        <w:t xml:space="preserve">法定代表人或授权代表：                   </w:t>
      </w:r>
    </w:p>
    <w:p w14:paraId="56952AB0" w14:textId="77777777" w:rsidR="004049CF" w:rsidRPr="005F1112" w:rsidRDefault="004049CF" w:rsidP="004049CF">
      <w:pPr>
        <w:spacing w:line="360" w:lineRule="auto"/>
        <w:ind w:right="26"/>
        <w:rPr>
          <w:rFonts w:ascii="宋体" w:hAnsi="宋体"/>
          <w:b/>
          <w:sz w:val="24"/>
          <w:szCs w:val="28"/>
        </w:rPr>
      </w:pPr>
    </w:p>
    <w:p w14:paraId="339376E8" w14:textId="77777777" w:rsidR="004049CF" w:rsidRPr="005F1112" w:rsidRDefault="004049CF" w:rsidP="004049CF">
      <w:pPr>
        <w:spacing w:line="360" w:lineRule="auto"/>
        <w:ind w:right="26"/>
        <w:rPr>
          <w:rFonts w:ascii="宋体" w:hAnsi="宋体"/>
          <w:b/>
          <w:sz w:val="24"/>
          <w:szCs w:val="28"/>
        </w:rPr>
      </w:pPr>
    </w:p>
    <w:p w14:paraId="3B457B5F" w14:textId="77777777" w:rsidR="004049CF" w:rsidRPr="005F1112" w:rsidRDefault="004049CF" w:rsidP="004049CF">
      <w:pPr>
        <w:spacing w:line="360" w:lineRule="auto"/>
        <w:ind w:right="26"/>
        <w:rPr>
          <w:rFonts w:ascii="宋体" w:hAnsi="宋体"/>
          <w:b/>
          <w:sz w:val="24"/>
          <w:szCs w:val="28"/>
        </w:rPr>
      </w:pPr>
    </w:p>
    <w:p w14:paraId="739AC439" w14:textId="77777777" w:rsidR="004049CF" w:rsidRPr="005F1112" w:rsidRDefault="004049CF" w:rsidP="004049CF">
      <w:pPr>
        <w:spacing w:line="360" w:lineRule="auto"/>
        <w:ind w:right="26"/>
        <w:rPr>
          <w:rFonts w:ascii="宋体" w:hAnsi="宋体"/>
          <w:b/>
          <w:sz w:val="24"/>
          <w:szCs w:val="28"/>
        </w:rPr>
      </w:pPr>
      <w:r w:rsidRPr="005F1112">
        <w:rPr>
          <w:rFonts w:ascii="宋体" w:hAnsi="宋体" w:hint="eastAsia"/>
          <w:b/>
          <w:sz w:val="24"/>
          <w:szCs w:val="28"/>
        </w:rPr>
        <w:t>签订地点：北京</w:t>
      </w:r>
    </w:p>
    <w:p w14:paraId="1366C14F" w14:textId="77777777" w:rsidR="004049CF" w:rsidRPr="005F1112" w:rsidRDefault="004049CF" w:rsidP="004049CF">
      <w:pPr>
        <w:spacing w:line="360" w:lineRule="auto"/>
        <w:ind w:right="26"/>
        <w:rPr>
          <w:rFonts w:ascii="宋体" w:hAnsi="宋体"/>
          <w:b/>
          <w:sz w:val="24"/>
          <w:szCs w:val="28"/>
        </w:rPr>
      </w:pPr>
      <w:r w:rsidRPr="005F1112">
        <w:rPr>
          <w:rFonts w:ascii="宋体" w:hAnsi="宋体" w:hint="eastAsia"/>
          <w:b/>
          <w:sz w:val="24"/>
          <w:szCs w:val="28"/>
        </w:rPr>
        <w:t>签 订 日：二零一</w:t>
      </w:r>
      <w:r w:rsidR="00F245D1" w:rsidRPr="005F1112">
        <w:rPr>
          <w:rFonts w:ascii="宋体" w:hAnsi="宋体" w:hint="eastAsia"/>
          <w:b/>
          <w:sz w:val="24"/>
          <w:szCs w:val="28"/>
        </w:rPr>
        <w:t>六</w:t>
      </w:r>
      <w:r w:rsidRPr="005F1112">
        <w:rPr>
          <w:rFonts w:ascii="宋体" w:hAnsi="宋体" w:hint="eastAsia"/>
          <w:b/>
          <w:sz w:val="24"/>
          <w:szCs w:val="28"/>
        </w:rPr>
        <w:t>年</w:t>
      </w:r>
      <w:r w:rsidR="00F245D1" w:rsidRPr="005F1112">
        <w:rPr>
          <w:rFonts w:ascii="宋体" w:hAnsi="宋体" w:hint="eastAsia"/>
          <w:b/>
          <w:sz w:val="24"/>
          <w:szCs w:val="28"/>
        </w:rPr>
        <w:t xml:space="preserve">    </w:t>
      </w:r>
      <w:r w:rsidRPr="005F1112">
        <w:rPr>
          <w:rFonts w:ascii="宋体" w:hAnsi="宋体" w:hint="eastAsia"/>
          <w:b/>
          <w:sz w:val="24"/>
          <w:szCs w:val="28"/>
        </w:rPr>
        <w:t>月</w:t>
      </w:r>
      <w:r w:rsidR="00F245D1" w:rsidRPr="005F1112">
        <w:rPr>
          <w:rFonts w:ascii="宋体" w:hAnsi="宋体" w:hint="eastAsia"/>
          <w:b/>
          <w:sz w:val="24"/>
          <w:szCs w:val="28"/>
        </w:rPr>
        <w:t xml:space="preserve">   </w:t>
      </w:r>
      <w:r w:rsidRPr="005F1112">
        <w:rPr>
          <w:rFonts w:ascii="宋体" w:hAnsi="宋体" w:hint="eastAsia"/>
          <w:b/>
          <w:sz w:val="24"/>
          <w:szCs w:val="28"/>
        </w:rPr>
        <w:t>日</w:t>
      </w:r>
      <w:bookmarkStart w:id="101" w:name="_GoBack"/>
      <w:bookmarkEnd w:id="101"/>
    </w:p>
    <w:p w14:paraId="6812BE40" w14:textId="77777777" w:rsidR="004049CF" w:rsidRPr="005F1112" w:rsidRDefault="004049CF" w:rsidP="004049CF">
      <w:pPr>
        <w:adjustRightInd w:val="0"/>
        <w:snapToGrid w:val="0"/>
        <w:rPr>
          <w:rFonts w:ascii="宋体" w:hAnsi="宋体" w:cs="Arial"/>
          <w:sz w:val="24"/>
        </w:rPr>
      </w:pPr>
    </w:p>
    <w:p w14:paraId="32199330" w14:textId="77777777" w:rsidR="004049CF" w:rsidRPr="005F1112" w:rsidRDefault="004049CF" w:rsidP="004049CF">
      <w:pPr>
        <w:rPr>
          <w:rFonts w:ascii="宋体" w:hAnsi="宋体"/>
        </w:rPr>
      </w:pPr>
    </w:p>
    <w:p w14:paraId="1A306E88" w14:textId="77777777" w:rsidR="004049CF" w:rsidRPr="005F1112" w:rsidRDefault="004049CF" w:rsidP="004049CF">
      <w:pPr>
        <w:rPr>
          <w:rFonts w:ascii="宋体" w:hAnsi="宋体"/>
        </w:rPr>
      </w:pPr>
    </w:p>
    <w:p w14:paraId="4F0D25EE" w14:textId="77777777" w:rsidR="002B69A2" w:rsidRPr="005F1112" w:rsidRDefault="002B69A2">
      <w:pPr>
        <w:rPr>
          <w:rFonts w:ascii="宋体" w:hAnsi="宋体"/>
        </w:rPr>
      </w:pPr>
    </w:p>
    <w:sectPr w:rsidR="002B69A2" w:rsidRPr="005F1112">
      <w:headerReference w:type="default" r:id="rId13"/>
      <w:footerReference w:type="default" r:id="rId14"/>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B5E6D" w14:textId="77777777" w:rsidR="0012077A" w:rsidRDefault="0012077A" w:rsidP="004049CF">
      <w:r>
        <w:separator/>
      </w:r>
    </w:p>
  </w:endnote>
  <w:endnote w:type="continuationSeparator" w:id="0">
    <w:p w14:paraId="4575BA95" w14:textId="77777777" w:rsidR="0012077A" w:rsidRDefault="0012077A" w:rsidP="004049CF">
      <w:r>
        <w:continuationSeparator/>
      </w:r>
    </w:p>
  </w:endnote>
  <w:endnote w:type="continuationNotice" w:id="1">
    <w:p w14:paraId="6B624800" w14:textId="77777777" w:rsidR="0012077A" w:rsidRDefault="00120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935C2" w14:textId="77777777" w:rsidR="00215D19" w:rsidRDefault="00215D19">
    <w:pPr>
      <w:pStyle w:val="a7"/>
      <w:framePr w:wrap="around" w:vAnchor="text" w:hAnchor="margin" w:xAlign="center" w:y="1"/>
      <w:rPr>
        <w:rStyle w:val="a6"/>
      </w:rPr>
    </w:pPr>
    <w:r>
      <w:fldChar w:fldCharType="begin"/>
    </w:r>
    <w:r>
      <w:rPr>
        <w:rStyle w:val="a6"/>
      </w:rPr>
      <w:instrText xml:space="preserve">PAGE  </w:instrText>
    </w:r>
    <w:r>
      <w:fldChar w:fldCharType="end"/>
    </w:r>
  </w:p>
  <w:p w14:paraId="1E501E7B" w14:textId="77777777" w:rsidR="00215D19" w:rsidRDefault="00215D1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081E" w14:textId="77777777" w:rsidR="00215D19" w:rsidRDefault="00215D19">
    <w:pPr>
      <w:pStyle w:val="a7"/>
      <w:framePr w:wrap="around" w:vAnchor="text" w:hAnchor="margin" w:xAlign="center" w:y="1"/>
      <w:rPr>
        <w:rStyle w:val="a6"/>
      </w:rPr>
    </w:pPr>
    <w:r>
      <w:fldChar w:fldCharType="begin"/>
    </w:r>
    <w:r>
      <w:rPr>
        <w:rStyle w:val="a6"/>
      </w:rPr>
      <w:instrText xml:space="preserve">PAGE  </w:instrText>
    </w:r>
    <w:r>
      <w:fldChar w:fldCharType="separate"/>
    </w:r>
    <w:r w:rsidR="005F1112">
      <w:rPr>
        <w:rStyle w:val="a6"/>
        <w:noProof/>
      </w:rPr>
      <w:t>1</w:t>
    </w:r>
    <w:r>
      <w:fldChar w:fldCharType="end"/>
    </w:r>
  </w:p>
  <w:p w14:paraId="29E25E0A" w14:textId="77777777" w:rsidR="00215D19" w:rsidRDefault="00215D1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2B13D" w14:textId="77777777" w:rsidR="00215D19" w:rsidRDefault="00215D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7E22D" w14:textId="77777777" w:rsidR="0012077A" w:rsidRDefault="0012077A" w:rsidP="004049CF">
      <w:r>
        <w:separator/>
      </w:r>
    </w:p>
  </w:footnote>
  <w:footnote w:type="continuationSeparator" w:id="0">
    <w:p w14:paraId="09F217BC" w14:textId="77777777" w:rsidR="0012077A" w:rsidRDefault="0012077A" w:rsidP="004049CF">
      <w:r>
        <w:continuationSeparator/>
      </w:r>
    </w:p>
  </w:footnote>
  <w:footnote w:type="continuationNotice" w:id="1">
    <w:p w14:paraId="3D01718B" w14:textId="77777777" w:rsidR="0012077A" w:rsidRDefault="001207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3DF2" w14:textId="77777777" w:rsidR="00215D19" w:rsidRDefault="00215D19">
    <w:pPr>
      <w:pStyle w:val="a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80353" w14:textId="77777777" w:rsidR="00215D19" w:rsidRDefault="00215D1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9A0B4" w14:textId="77777777" w:rsidR="00215D19" w:rsidRDefault="00215D1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49CF"/>
    <w:rsid w:val="00001DCC"/>
    <w:rsid w:val="00036CCC"/>
    <w:rsid w:val="000C4ABD"/>
    <w:rsid w:val="000C5259"/>
    <w:rsid w:val="0012077A"/>
    <w:rsid w:val="00121B87"/>
    <w:rsid w:val="00167332"/>
    <w:rsid w:val="0017246F"/>
    <w:rsid w:val="00176C7A"/>
    <w:rsid w:val="00185131"/>
    <w:rsid w:val="001D6B4F"/>
    <w:rsid w:val="00214117"/>
    <w:rsid w:val="00215D19"/>
    <w:rsid w:val="00222630"/>
    <w:rsid w:val="00222E6C"/>
    <w:rsid w:val="00226698"/>
    <w:rsid w:val="002463A4"/>
    <w:rsid w:val="00255CBB"/>
    <w:rsid w:val="002821C8"/>
    <w:rsid w:val="002B69A2"/>
    <w:rsid w:val="00337E7D"/>
    <w:rsid w:val="0034730A"/>
    <w:rsid w:val="003523C9"/>
    <w:rsid w:val="00381015"/>
    <w:rsid w:val="00383FD0"/>
    <w:rsid w:val="003A29B3"/>
    <w:rsid w:val="004049CF"/>
    <w:rsid w:val="0043175D"/>
    <w:rsid w:val="00493C31"/>
    <w:rsid w:val="004E1E46"/>
    <w:rsid w:val="00544224"/>
    <w:rsid w:val="00582797"/>
    <w:rsid w:val="005F089D"/>
    <w:rsid w:val="005F1112"/>
    <w:rsid w:val="00631BBC"/>
    <w:rsid w:val="006511A7"/>
    <w:rsid w:val="0066109D"/>
    <w:rsid w:val="0067241B"/>
    <w:rsid w:val="006D2A79"/>
    <w:rsid w:val="006F6C9B"/>
    <w:rsid w:val="0079102B"/>
    <w:rsid w:val="007B6EE7"/>
    <w:rsid w:val="008015A4"/>
    <w:rsid w:val="00834B02"/>
    <w:rsid w:val="00840948"/>
    <w:rsid w:val="0084358D"/>
    <w:rsid w:val="00844496"/>
    <w:rsid w:val="008536DD"/>
    <w:rsid w:val="0085719F"/>
    <w:rsid w:val="0088091D"/>
    <w:rsid w:val="008D5B2F"/>
    <w:rsid w:val="009104A5"/>
    <w:rsid w:val="009501AA"/>
    <w:rsid w:val="00950FAE"/>
    <w:rsid w:val="00AC5118"/>
    <w:rsid w:val="00B14667"/>
    <w:rsid w:val="00B62622"/>
    <w:rsid w:val="00B86328"/>
    <w:rsid w:val="00BB6C5E"/>
    <w:rsid w:val="00BC2386"/>
    <w:rsid w:val="00BD2137"/>
    <w:rsid w:val="00BF0916"/>
    <w:rsid w:val="00BF70F3"/>
    <w:rsid w:val="00C322E1"/>
    <w:rsid w:val="00C85514"/>
    <w:rsid w:val="00C9196E"/>
    <w:rsid w:val="00D53C7B"/>
    <w:rsid w:val="00D71982"/>
    <w:rsid w:val="00D76EC1"/>
    <w:rsid w:val="00D92E7E"/>
    <w:rsid w:val="00DA4436"/>
    <w:rsid w:val="00E342AB"/>
    <w:rsid w:val="00E8431F"/>
    <w:rsid w:val="00E92C49"/>
    <w:rsid w:val="00E93CFF"/>
    <w:rsid w:val="00EA236A"/>
    <w:rsid w:val="00F24039"/>
    <w:rsid w:val="00F245D1"/>
    <w:rsid w:val="00F43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9C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4049CF"/>
    <w:pPr>
      <w:keepNext/>
      <w:keepLines/>
      <w:spacing w:before="340" w:after="330" w:line="578" w:lineRule="auto"/>
      <w:outlineLvl w:val="0"/>
    </w:pPr>
    <w:rPr>
      <w:b/>
      <w:bCs/>
      <w:kern w:val="44"/>
      <w:sz w:val="44"/>
      <w:szCs w:val="44"/>
      <w:lang w:val="x-none" w:eastAsia="x-none"/>
    </w:rPr>
  </w:style>
  <w:style w:type="paragraph" w:styleId="2">
    <w:name w:val="heading 2"/>
    <w:basedOn w:val="a"/>
    <w:next w:val="a0"/>
    <w:link w:val="2Char"/>
    <w:qFormat/>
    <w:rsid w:val="004049CF"/>
    <w:pPr>
      <w:keepNext/>
      <w:keepLines/>
      <w:spacing w:before="260" w:after="260" w:line="416" w:lineRule="auto"/>
      <w:outlineLvl w:val="1"/>
    </w:pPr>
    <w:rPr>
      <w:rFonts w:ascii="Arial" w:eastAsia="黑体" w:hAnsi="Arial"/>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4049CF"/>
    <w:rPr>
      <w:rFonts w:ascii="Arial" w:eastAsia="黑体" w:hAnsi="Arial" w:cs="Times New Roman"/>
      <w:b/>
      <w:kern w:val="0"/>
      <w:sz w:val="32"/>
      <w:szCs w:val="20"/>
      <w:lang w:val="x-none" w:eastAsia="x-none"/>
    </w:rPr>
  </w:style>
  <w:style w:type="character" w:styleId="a4">
    <w:name w:val="Hyperlink"/>
    <w:rsid w:val="004049CF"/>
    <w:rPr>
      <w:color w:val="0000FF"/>
      <w:u w:val="single"/>
    </w:rPr>
  </w:style>
  <w:style w:type="character" w:styleId="a5">
    <w:name w:val="annotation reference"/>
    <w:rsid w:val="004049CF"/>
    <w:rPr>
      <w:sz w:val="21"/>
      <w:szCs w:val="21"/>
    </w:rPr>
  </w:style>
  <w:style w:type="character" w:styleId="a6">
    <w:name w:val="page number"/>
    <w:basedOn w:val="a1"/>
    <w:rsid w:val="004049CF"/>
  </w:style>
  <w:style w:type="character" w:customStyle="1" w:styleId="Char">
    <w:name w:val="页脚 Char"/>
    <w:link w:val="a7"/>
    <w:rsid w:val="004049CF"/>
    <w:rPr>
      <w:sz w:val="18"/>
      <w:szCs w:val="18"/>
    </w:rPr>
  </w:style>
  <w:style w:type="character" w:customStyle="1" w:styleId="read">
    <w:name w:val="read"/>
    <w:basedOn w:val="a1"/>
    <w:rsid w:val="004049CF"/>
  </w:style>
  <w:style w:type="character" w:customStyle="1" w:styleId="Char0">
    <w:name w:val="页眉 Char"/>
    <w:link w:val="a8"/>
    <w:uiPriority w:val="99"/>
    <w:rsid w:val="004049CF"/>
    <w:rPr>
      <w:sz w:val="18"/>
      <w:szCs w:val="18"/>
    </w:rPr>
  </w:style>
  <w:style w:type="character" w:customStyle="1" w:styleId="Char1">
    <w:name w:val="正文文本缩进 Char"/>
    <w:link w:val="a9"/>
    <w:rsid w:val="004049CF"/>
    <w:rPr>
      <w:rFonts w:ascii="Times New Roman" w:eastAsia="方正仿宋简体" w:hAnsi="Times New Roman" w:cs="Times New Roman"/>
      <w:sz w:val="24"/>
      <w:szCs w:val="30"/>
    </w:rPr>
  </w:style>
  <w:style w:type="character" w:customStyle="1" w:styleId="Char2">
    <w:name w:val="批注文字 Char"/>
    <w:link w:val="aa"/>
    <w:rsid w:val="004049CF"/>
    <w:rPr>
      <w:rFonts w:ascii="Times New Roman" w:eastAsia="宋体" w:hAnsi="Times New Roman" w:cs="Times New Roman"/>
      <w:szCs w:val="24"/>
    </w:rPr>
  </w:style>
  <w:style w:type="paragraph" w:styleId="a8">
    <w:name w:val="header"/>
    <w:basedOn w:val="a"/>
    <w:link w:val="Char0"/>
    <w:uiPriority w:val="99"/>
    <w:unhideWhenUsed/>
    <w:rsid w:val="004049CF"/>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10">
    <w:name w:val="页眉 Char1"/>
    <w:uiPriority w:val="99"/>
    <w:semiHidden/>
    <w:rsid w:val="004049CF"/>
    <w:rPr>
      <w:rFonts w:ascii="Times New Roman" w:eastAsia="宋体" w:hAnsi="Times New Roman" w:cs="Times New Roman"/>
      <w:sz w:val="18"/>
      <w:szCs w:val="18"/>
    </w:rPr>
  </w:style>
  <w:style w:type="paragraph" w:styleId="a7">
    <w:name w:val="footer"/>
    <w:basedOn w:val="a"/>
    <w:link w:val="Char"/>
    <w:unhideWhenUsed/>
    <w:rsid w:val="004049CF"/>
    <w:pPr>
      <w:tabs>
        <w:tab w:val="center" w:pos="4153"/>
        <w:tab w:val="right" w:pos="8306"/>
      </w:tabs>
      <w:snapToGrid w:val="0"/>
      <w:jc w:val="left"/>
    </w:pPr>
    <w:rPr>
      <w:rFonts w:ascii="Calibri" w:hAnsi="Calibri"/>
      <w:kern w:val="0"/>
      <w:sz w:val="18"/>
      <w:szCs w:val="18"/>
      <w:lang w:val="x-none" w:eastAsia="x-none"/>
    </w:rPr>
  </w:style>
  <w:style w:type="character" w:customStyle="1" w:styleId="Char11">
    <w:name w:val="页脚 Char1"/>
    <w:uiPriority w:val="99"/>
    <w:semiHidden/>
    <w:rsid w:val="004049CF"/>
    <w:rPr>
      <w:rFonts w:ascii="Times New Roman" w:eastAsia="宋体" w:hAnsi="Times New Roman" w:cs="Times New Roman"/>
      <w:sz w:val="18"/>
      <w:szCs w:val="18"/>
    </w:rPr>
  </w:style>
  <w:style w:type="paragraph" w:styleId="a9">
    <w:name w:val="Body Text Indent"/>
    <w:basedOn w:val="a"/>
    <w:link w:val="Char1"/>
    <w:rsid w:val="004049CF"/>
    <w:pPr>
      <w:adjustRightInd w:val="0"/>
      <w:snapToGrid w:val="0"/>
      <w:spacing w:line="560" w:lineRule="exact"/>
      <w:ind w:firstLineChars="200" w:firstLine="480"/>
    </w:pPr>
    <w:rPr>
      <w:rFonts w:eastAsia="方正仿宋简体"/>
      <w:kern w:val="0"/>
      <w:sz w:val="24"/>
      <w:szCs w:val="30"/>
      <w:lang w:val="x-none" w:eastAsia="x-none"/>
    </w:rPr>
  </w:style>
  <w:style w:type="character" w:customStyle="1" w:styleId="Char12">
    <w:name w:val="正文文本缩进 Char1"/>
    <w:uiPriority w:val="99"/>
    <w:semiHidden/>
    <w:rsid w:val="004049CF"/>
    <w:rPr>
      <w:rFonts w:ascii="Times New Roman" w:eastAsia="宋体" w:hAnsi="Times New Roman" w:cs="Times New Roman"/>
      <w:szCs w:val="24"/>
    </w:rPr>
  </w:style>
  <w:style w:type="paragraph" w:styleId="20">
    <w:name w:val="toc 2"/>
    <w:basedOn w:val="a"/>
    <w:next w:val="a"/>
    <w:semiHidden/>
    <w:rsid w:val="004049CF"/>
    <w:pPr>
      <w:ind w:leftChars="200" w:left="420"/>
    </w:pPr>
  </w:style>
  <w:style w:type="paragraph" w:styleId="aa">
    <w:name w:val="annotation text"/>
    <w:basedOn w:val="a"/>
    <w:link w:val="Char2"/>
    <w:rsid w:val="004049CF"/>
    <w:pPr>
      <w:jc w:val="left"/>
    </w:pPr>
    <w:rPr>
      <w:kern w:val="0"/>
      <w:sz w:val="20"/>
      <w:lang w:val="x-none" w:eastAsia="x-none"/>
    </w:rPr>
  </w:style>
  <w:style w:type="character" w:customStyle="1" w:styleId="Char13">
    <w:name w:val="批注文字 Char1"/>
    <w:uiPriority w:val="99"/>
    <w:semiHidden/>
    <w:rsid w:val="004049CF"/>
    <w:rPr>
      <w:rFonts w:ascii="Times New Roman" w:eastAsia="宋体" w:hAnsi="Times New Roman" w:cs="Times New Roman"/>
      <w:szCs w:val="24"/>
    </w:rPr>
  </w:style>
  <w:style w:type="paragraph" w:styleId="a0">
    <w:name w:val="Normal Indent"/>
    <w:basedOn w:val="a"/>
    <w:rsid w:val="004049CF"/>
    <w:pPr>
      <w:ind w:firstLineChars="200" w:firstLine="420"/>
    </w:pPr>
  </w:style>
  <w:style w:type="paragraph" w:styleId="ab">
    <w:name w:val="Balloon Text"/>
    <w:basedOn w:val="a"/>
    <w:link w:val="Char3"/>
    <w:uiPriority w:val="99"/>
    <w:semiHidden/>
    <w:unhideWhenUsed/>
    <w:rsid w:val="004049CF"/>
    <w:rPr>
      <w:kern w:val="0"/>
      <w:sz w:val="18"/>
      <w:szCs w:val="18"/>
      <w:lang w:val="x-none" w:eastAsia="x-none"/>
    </w:rPr>
  </w:style>
  <w:style w:type="character" w:customStyle="1" w:styleId="Char3">
    <w:name w:val="批注框文本 Char"/>
    <w:link w:val="ab"/>
    <w:uiPriority w:val="99"/>
    <w:semiHidden/>
    <w:rsid w:val="004049CF"/>
    <w:rPr>
      <w:rFonts w:ascii="Times New Roman" w:eastAsia="宋体" w:hAnsi="Times New Roman" w:cs="Times New Roman"/>
      <w:sz w:val="18"/>
      <w:szCs w:val="18"/>
    </w:rPr>
  </w:style>
  <w:style w:type="paragraph" w:styleId="ac">
    <w:name w:val="Date"/>
    <w:basedOn w:val="a"/>
    <w:next w:val="a"/>
    <w:link w:val="Char4"/>
    <w:uiPriority w:val="99"/>
    <w:semiHidden/>
    <w:unhideWhenUsed/>
    <w:rsid w:val="004049CF"/>
    <w:pPr>
      <w:ind w:leftChars="2500" w:left="100"/>
    </w:pPr>
    <w:rPr>
      <w:kern w:val="0"/>
      <w:sz w:val="20"/>
      <w:lang w:val="x-none" w:eastAsia="x-none"/>
    </w:rPr>
  </w:style>
  <w:style w:type="character" w:customStyle="1" w:styleId="Char4">
    <w:name w:val="日期 Char"/>
    <w:link w:val="ac"/>
    <w:uiPriority w:val="99"/>
    <w:semiHidden/>
    <w:rsid w:val="004049CF"/>
    <w:rPr>
      <w:rFonts w:ascii="Times New Roman" w:eastAsia="宋体" w:hAnsi="Times New Roman" w:cs="Times New Roman"/>
      <w:szCs w:val="24"/>
    </w:rPr>
  </w:style>
  <w:style w:type="character" w:customStyle="1" w:styleId="1Char">
    <w:name w:val="标题 1 Char"/>
    <w:link w:val="1"/>
    <w:uiPriority w:val="9"/>
    <w:rsid w:val="004049CF"/>
    <w:rPr>
      <w:rFonts w:ascii="Times New Roman" w:eastAsia="宋体" w:hAnsi="Times New Roman" w:cs="Times New Roman"/>
      <w:b/>
      <w:bCs/>
      <w:kern w:val="44"/>
      <w:sz w:val="44"/>
      <w:szCs w:val="44"/>
    </w:rPr>
  </w:style>
  <w:style w:type="paragraph" w:styleId="ad">
    <w:name w:val="Revision"/>
    <w:hidden/>
    <w:uiPriority w:val="99"/>
    <w:semiHidden/>
    <w:rsid w:val="00D53C7B"/>
    <w:rPr>
      <w:rFonts w:ascii="Times New Roman" w:hAnsi="Times New Roman"/>
      <w:kern w:val="2"/>
      <w:sz w:val="21"/>
      <w:szCs w:val="24"/>
    </w:rPr>
  </w:style>
  <w:style w:type="paragraph" w:styleId="ae">
    <w:name w:val="annotation subject"/>
    <w:basedOn w:val="aa"/>
    <w:next w:val="aa"/>
    <w:link w:val="Char5"/>
    <w:uiPriority w:val="99"/>
    <w:semiHidden/>
    <w:unhideWhenUsed/>
    <w:rsid w:val="00167332"/>
    <w:rPr>
      <w:b/>
      <w:bCs/>
    </w:rPr>
  </w:style>
  <w:style w:type="character" w:customStyle="1" w:styleId="Char5">
    <w:name w:val="批注主题 Char"/>
    <w:basedOn w:val="Char2"/>
    <w:link w:val="ae"/>
    <w:uiPriority w:val="99"/>
    <w:semiHidden/>
    <w:rsid w:val="00167332"/>
    <w:rPr>
      <w:rFonts w:ascii="Times New Roman" w:eastAsia="宋体" w:hAnsi="Times New Roman" w:cs="Times New Roman"/>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9C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4049CF"/>
    <w:pPr>
      <w:keepNext/>
      <w:keepLines/>
      <w:spacing w:before="340" w:after="330" w:line="578" w:lineRule="auto"/>
      <w:outlineLvl w:val="0"/>
    </w:pPr>
    <w:rPr>
      <w:b/>
      <w:bCs/>
      <w:kern w:val="44"/>
      <w:sz w:val="44"/>
      <w:szCs w:val="44"/>
      <w:lang w:val="x-none" w:eastAsia="x-none"/>
    </w:rPr>
  </w:style>
  <w:style w:type="paragraph" w:styleId="2">
    <w:name w:val="heading 2"/>
    <w:basedOn w:val="a"/>
    <w:next w:val="a0"/>
    <w:link w:val="2Char"/>
    <w:qFormat/>
    <w:rsid w:val="004049CF"/>
    <w:pPr>
      <w:keepNext/>
      <w:keepLines/>
      <w:spacing w:before="260" w:after="260" w:line="416" w:lineRule="auto"/>
      <w:outlineLvl w:val="1"/>
    </w:pPr>
    <w:rPr>
      <w:rFonts w:ascii="Arial" w:eastAsia="黑体" w:hAnsi="Arial"/>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4049CF"/>
    <w:rPr>
      <w:rFonts w:ascii="Arial" w:eastAsia="黑体" w:hAnsi="Arial" w:cs="Times New Roman"/>
      <w:b/>
      <w:kern w:val="0"/>
      <w:sz w:val="32"/>
      <w:szCs w:val="20"/>
      <w:lang w:val="x-none" w:eastAsia="x-none"/>
    </w:rPr>
  </w:style>
  <w:style w:type="character" w:styleId="a4">
    <w:name w:val="Hyperlink"/>
    <w:rsid w:val="004049CF"/>
    <w:rPr>
      <w:color w:val="0000FF"/>
      <w:u w:val="single"/>
    </w:rPr>
  </w:style>
  <w:style w:type="character" w:styleId="a5">
    <w:name w:val="annotation reference"/>
    <w:rsid w:val="004049CF"/>
    <w:rPr>
      <w:sz w:val="21"/>
      <w:szCs w:val="21"/>
    </w:rPr>
  </w:style>
  <w:style w:type="character" w:styleId="a6">
    <w:name w:val="page number"/>
    <w:basedOn w:val="a1"/>
    <w:rsid w:val="004049CF"/>
  </w:style>
  <w:style w:type="character" w:customStyle="1" w:styleId="Char">
    <w:name w:val="页脚 Char"/>
    <w:link w:val="a7"/>
    <w:rsid w:val="004049CF"/>
    <w:rPr>
      <w:sz w:val="18"/>
      <w:szCs w:val="18"/>
    </w:rPr>
  </w:style>
  <w:style w:type="character" w:customStyle="1" w:styleId="read">
    <w:name w:val="read"/>
    <w:basedOn w:val="a1"/>
    <w:rsid w:val="004049CF"/>
  </w:style>
  <w:style w:type="character" w:customStyle="1" w:styleId="Char0">
    <w:name w:val="页眉 Char"/>
    <w:link w:val="a8"/>
    <w:uiPriority w:val="99"/>
    <w:rsid w:val="004049CF"/>
    <w:rPr>
      <w:sz w:val="18"/>
      <w:szCs w:val="18"/>
    </w:rPr>
  </w:style>
  <w:style w:type="character" w:customStyle="1" w:styleId="Char1">
    <w:name w:val="正文文本缩进 Char"/>
    <w:link w:val="a9"/>
    <w:rsid w:val="004049CF"/>
    <w:rPr>
      <w:rFonts w:ascii="Times New Roman" w:eastAsia="方正仿宋简体" w:hAnsi="Times New Roman" w:cs="Times New Roman"/>
      <w:sz w:val="24"/>
      <w:szCs w:val="30"/>
    </w:rPr>
  </w:style>
  <w:style w:type="character" w:customStyle="1" w:styleId="Char2">
    <w:name w:val="批注文字 Char"/>
    <w:link w:val="aa"/>
    <w:rsid w:val="004049CF"/>
    <w:rPr>
      <w:rFonts w:ascii="Times New Roman" w:eastAsia="宋体" w:hAnsi="Times New Roman" w:cs="Times New Roman"/>
      <w:szCs w:val="24"/>
    </w:rPr>
  </w:style>
  <w:style w:type="paragraph" w:styleId="a8">
    <w:name w:val="header"/>
    <w:basedOn w:val="a"/>
    <w:link w:val="Char0"/>
    <w:uiPriority w:val="99"/>
    <w:unhideWhenUsed/>
    <w:rsid w:val="004049CF"/>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10">
    <w:name w:val="页眉 Char1"/>
    <w:uiPriority w:val="99"/>
    <w:semiHidden/>
    <w:rsid w:val="004049CF"/>
    <w:rPr>
      <w:rFonts w:ascii="Times New Roman" w:eastAsia="宋体" w:hAnsi="Times New Roman" w:cs="Times New Roman"/>
      <w:sz w:val="18"/>
      <w:szCs w:val="18"/>
    </w:rPr>
  </w:style>
  <w:style w:type="paragraph" w:styleId="a7">
    <w:name w:val="footer"/>
    <w:basedOn w:val="a"/>
    <w:link w:val="Char"/>
    <w:unhideWhenUsed/>
    <w:rsid w:val="004049CF"/>
    <w:pPr>
      <w:tabs>
        <w:tab w:val="center" w:pos="4153"/>
        <w:tab w:val="right" w:pos="8306"/>
      </w:tabs>
      <w:snapToGrid w:val="0"/>
      <w:jc w:val="left"/>
    </w:pPr>
    <w:rPr>
      <w:rFonts w:ascii="Calibri" w:hAnsi="Calibri"/>
      <w:kern w:val="0"/>
      <w:sz w:val="18"/>
      <w:szCs w:val="18"/>
      <w:lang w:val="x-none" w:eastAsia="x-none"/>
    </w:rPr>
  </w:style>
  <w:style w:type="character" w:customStyle="1" w:styleId="Char11">
    <w:name w:val="页脚 Char1"/>
    <w:uiPriority w:val="99"/>
    <w:semiHidden/>
    <w:rsid w:val="004049CF"/>
    <w:rPr>
      <w:rFonts w:ascii="Times New Roman" w:eastAsia="宋体" w:hAnsi="Times New Roman" w:cs="Times New Roman"/>
      <w:sz w:val="18"/>
      <w:szCs w:val="18"/>
    </w:rPr>
  </w:style>
  <w:style w:type="paragraph" w:styleId="a9">
    <w:name w:val="Body Text Indent"/>
    <w:basedOn w:val="a"/>
    <w:link w:val="Char1"/>
    <w:rsid w:val="004049CF"/>
    <w:pPr>
      <w:adjustRightInd w:val="0"/>
      <w:snapToGrid w:val="0"/>
      <w:spacing w:line="560" w:lineRule="exact"/>
      <w:ind w:firstLineChars="200" w:firstLine="480"/>
    </w:pPr>
    <w:rPr>
      <w:rFonts w:eastAsia="方正仿宋简体"/>
      <w:kern w:val="0"/>
      <w:sz w:val="24"/>
      <w:szCs w:val="30"/>
      <w:lang w:val="x-none" w:eastAsia="x-none"/>
    </w:rPr>
  </w:style>
  <w:style w:type="character" w:customStyle="1" w:styleId="Char12">
    <w:name w:val="正文文本缩进 Char1"/>
    <w:uiPriority w:val="99"/>
    <w:semiHidden/>
    <w:rsid w:val="004049CF"/>
    <w:rPr>
      <w:rFonts w:ascii="Times New Roman" w:eastAsia="宋体" w:hAnsi="Times New Roman" w:cs="Times New Roman"/>
      <w:szCs w:val="24"/>
    </w:rPr>
  </w:style>
  <w:style w:type="paragraph" w:styleId="20">
    <w:name w:val="toc 2"/>
    <w:basedOn w:val="a"/>
    <w:next w:val="a"/>
    <w:semiHidden/>
    <w:rsid w:val="004049CF"/>
    <w:pPr>
      <w:ind w:leftChars="200" w:left="420"/>
    </w:pPr>
  </w:style>
  <w:style w:type="paragraph" w:styleId="aa">
    <w:name w:val="annotation text"/>
    <w:basedOn w:val="a"/>
    <w:link w:val="Char2"/>
    <w:rsid w:val="004049CF"/>
    <w:pPr>
      <w:jc w:val="left"/>
    </w:pPr>
    <w:rPr>
      <w:kern w:val="0"/>
      <w:sz w:val="20"/>
      <w:lang w:val="x-none" w:eastAsia="x-none"/>
    </w:rPr>
  </w:style>
  <w:style w:type="character" w:customStyle="1" w:styleId="Char13">
    <w:name w:val="批注文字 Char1"/>
    <w:uiPriority w:val="99"/>
    <w:semiHidden/>
    <w:rsid w:val="004049CF"/>
    <w:rPr>
      <w:rFonts w:ascii="Times New Roman" w:eastAsia="宋体" w:hAnsi="Times New Roman" w:cs="Times New Roman"/>
      <w:szCs w:val="24"/>
    </w:rPr>
  </w:style>
  <w:style w:type="paragraph" w:styleId="a0">
    <w:name w:val="Normal Indent"/>
    <w:basedOn w:val="a"/>
    <w:rsid w:val="004049CF"/>
    <w:pPr>
      <w:ind w:firstLineChars="200" w:firstLine="420"/>
    </w:pPr>
  </w:style>
  <w:style w:type="paragraph" w:styleId="ab">
    <w:name w:val="Balloon Text"/>
    <w:basedOn w:val="a"/>
    <w:link w:val="Char3"/>
    <w:uiPriority w:val="99"/>
    <w:semiHidden/>
    <w:unhideWhenUsed/>
    <w:rsid w:val="004049CF"/>
    <w:rPr>
      <w:kern w:val="0"/>
      <w:sz w:val="18"/>
      <w:szCs w:val="18"/>
      <w:lang w:val="x-none" w:eastAsia="x-none"/>
    </w:rPr>
  </w:style>
  <w:style w:type="character" w:customStyle="1" w:styleId="Char3">
    <w:name w:val="批注框文本 Char"/>
    <w:link w:val="ab"/>
    <w:uiPriority w:val="99"/>
    <w:semiHidden/>
    <w:rsid w:val="004049CF"/>
    <w:rPr>
      <w:rFonts w:ascii="Times New Roman" w:eastAsia="宋体" w:hAnsi="Times New Roman" w:cs="Times New Roman"/>
      <w:sz w:val="18"/>
      <w:szCs w:val="18"/>
    </w:rPr>
  </w:style>
  <w:style w:type="paragraph" w:styleId="ac">
    <w:name w:val="Date"/>
    <w:basedOn w:val="a"/>
    <w:next w:val="a"/>
    <w:link w:val="Char4"/>
    <w:uiPriority w:val="99"/>
    <w:semiHidden/>
    <w:unhideWhenUsed/>
    <w:rsid w:val="004049CF"/>
    <w:pPr>
      <w:ind w:leftChars="2500" w:left="100"/>
    </w:pPr>
    <w:rPr>
      <w:kern w:val="0"/>
      <w:sz w:val="20"/>
      <w:lang w:val="x-none" w:eastAsia="x-none"/>
    </w:rPr>
  </w:style>
  <w:style w:type="character" w:customStyle="1" w:styleId="Char4">
    <w:name w:val="日期 Char"/>
    <w:link w:val="ac"/>
    <w:uiPriority w:val="99"/>
    <w:semiHidden/>
    <w:rsid w:val="004049CF"/>
    <w:rPr>
      <w:rFonts w:ascii="Times New Roman" w:eastAsia="宋体" w:hAnsi="Times New Roman" w:cs="Times New Roman"/>
      <w:szCs w:val="24"/>
    </w:rPr>
  </w:style>
  <w:style w:type="character" w:customStyle="1" w:styleId="1Char">
    <w:name w:val="标题 1 Char"/>
    <w:link w:val="1"/>
    <w:uiPriority w:val="9"/>
    <w:rsid w:val="004049CF"/>
    <w:rPr>
      <w:rFonts w:ascii="Times New Roman" w:eastAsia="宋体" w:hAnsi="Times New Roman" w:cs="Times New Roman"/>
      <w:b/>
      <w:bCs/>
      <w:kern w:val="44"/>
      <w:sz w:val="44"/>
      <w:szCs w:val="44"/>
    </w:rPr>
  </w:style>
  <w:style w:type="paragraph" w:styleId="ad">
    <w:name w:val="Revision"/>
    <w:hidden/>
    <w:uiPriority w:val="99"/>
    <w:semiHidden/>
    <w:rsid w:val="00D53C7B"/>
    <w:rPr>
      <w:rFonts w:ascii="Times New Roman" w:hAnsi="Times New Roman"/>
      <w:kern w:val="2"/>
      <w:sz w:val="21"/>
      <w:szCs w:val="24"/>
    </w:rPr>
  </w:style>
  <w:style w:type="paragraph" w:styleId="ae">
    <w:name w:val="annotation subject"/>
    <w:basedOn w:val="aa"/>
    <w:next w:val="aa"/>
    <w:link w:val="Char5"/>
    <w:uiPriority w:val="99"/>
    <w:semiHidden/>
    <w:unhideWhenUsed/>
    <w:rsid w:val="00167332"/>
    <w:rPr>
      <w:b/>
      <w:bCs/>
    </w:rPr>
  </w:style>
  <w:style w:type="character" w:customStyle="1" w:styleId="Char5">
    <w:name w:val="批注主题 Char"/>
    <w:basedOn w:val="Char2"/>
    <w:link w:val="ae"/>
    <w:uiPriority w:val="99"/>
    <w:semiHidden/>
    <w:rsid w:val="00167332"/>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19778-A342-4CA1-BA8F-3D239DD9B772}">
  <ds:schemaRefs>
    <ds:schemaRef ds:uri="http://schemas.openxmlformats.org/officeDocument/2006/bibliography"/>
  </ds:schemaRefs>
</ds:datastoreItem>
</file>

<file path=customXml/itemProps2.xml><?xml version="1.0" encoding="utf-8"?>
<ds:datastoreItem xmlns:ds="http://schemas.openxmlformats.org/officeDocument/2006/customXml" ds:itemID="{826B91CD-ADF4-4113-A5D0-F3110BCE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4471</Words>
  <Characters>25491</Characters>
  <Application>Microsoft Office Word</Application>
  <DocSecurity>0</DocSecurity>
  <Lines>212</Lines>
  <Paragraphs>59</Paragraphs>
  <ScaleCrop>false</ScaleCrop>
  <Company>Microsoft</Company>
  <LinksUpToDate>false</LinksUpToDate>
  <CharactersWithSpaces>29903</CharactersWithSpaces>
  <SharedDoc>false</SharedDoc>
  <HLinks>
    <vt:vector size="126" baseType="variant">
      <vt:variant>
        <vt:i4>1245246</vt:i4>
      </vt:variant>
      <vt:variant>
        <vt:i4>248</vt:i4>
      </vt:variant>
      <vt:variant>
        <vt:i4>0</vt:i4>
      </vt:variant>
      <vt:variant>
        <vt:i4>5</vt:i4>
      </vt:variant>
      <vt:variant>
        <vt:lpwstr/>
      </vt:variant>
      <vt:variant>
        <vt:lpwstr>_Toc124325905</vt:lpwstr>
      </vt:variant>
      <vt:variant>
        <vt:i4>1245246</vt:i4>
      </vt:variant>
      <vt:variant>
        <vt:i4>242</vt:i4>
      </vt:variant>
      <vt:variant>
        <vt:i4>0</vt:i4>
      </vt:variant>
      <vt:variant>
        <vt:i4>5</vt:i4>
      </vt:variant>
      <vt:variant>
        <vt:lpwstr/>
      </vt:variant>
      <vt:variant>
        <vt:lpwstr>_Toc124325904</vt:lpwstr>
      </vt:variant>
      <vt:variant>
        <vt:i4>1245246</vt:i4>
      </vt:variant>
      <vt:variant>
        <vt:i4>236</vt:i4>
      </vt:variant>
      <vt:variant>
        <vt:i4>0</vt:i4>
      </vt:variant>
      <vt:variant>
        <vt:i4>5</vt:i4>
      </vt:variant>
      <vt:variant>
        <vt:lpwstr/>
      </vt:variant>
      <vt:variant>
        <vt:lpwstr>_Toc124325903</vt:lpwstr>
      </vt:variant>
      <vt:variant>
        <vt:i4>1245246</vt:i4>
      </vt:variant>
      <vt:variant>
        <vt:i4>230</vt:i4>
      </vt:variant>
      <vt:variant>
        <vt:i4>0</vt:i4>
      </vt:variant>
      <vt:variant>
        <vt:i4>5</vt:i4>
      </vt:variant>
      <vt:variant>
        <vt:lpwstr/>
      </vt:variant>
      <vt:variant>
        <vt:lpwstr>_Toc124325902</vt:lpwstr>
      </vt:variant>
      <vt:variant>
        <vt:i4>1245246</vt:i4>
      </vt:variant>
      <vt:variant>
        <vt:i4>224</vt:i4>
      </vt:variant>
      <vt:variant>
        <vt:i4>0</vt:i4>
      </vt:variant>
      <vt:variant>
        <vt:i4>5</vt:i4>
      </vt:variant>
      <vt:variant>
        <vt:lpwstr/>
      </vt:variant>
      <vt:variant>
        <vt:lpwstr>_Toc124325901</vt:lpwstr>
      </vt:variant>
      <vt:variant>
        <vt:i4>1245246</vt:i4>
      </vt:variant>
      <vt:variant>
        <vt:i4>218</vt:i4>
      </vt:variant>
      <vt:variant>
        <vt:i4>0</vt:i4>
      </vt:variant>
      <vt:variant>
        <vt:i4>5</vt:i4>
      </vt:variant>
      <vt:variant>
        <vt:lpwstr/>
      </vt:variant>
      <vt:variant>
        <vt:lpwstr>_Toc124325900</vt:lpwstr>
      </vt:variant>
      <vt:variant>
        <vt:i4>1703999</vt:i4>
      </vt:variant>
      <vt:variant>
        <vt:i4>212</vt:i4>
      </vt:variant>
      <vt:variant>
        <vt:i4>0</vt:i4>
      </vt:variant>
      <vt:variant>
        <vt:i4>5</vt:i4>
      </vt:variant>
      <vt:variant>
        <vt:lpwstr/>
      </vt:variant>
      <vt:variant>
        <vt:lpwstr>_Toc124325899</vt:lpwstr>
      </vt:variant>
      <vt:variant>
        <vt:i4>1703999</vt:i4>
      </vt:variant>
      <vt:variant>
        <vt:i4>206</vt:i4>
      </vt:variant>
      <vt:variant>
        <vt:i4>0</vt:i4>
      </vt:variant>
      <vt:variant>
        <vt:i4>5</vt:i4>
      </vt:variant>
      <vt:variant>
        <vt:lpwstr/>
      </vt:variant>
      <vt:variant>
        <vt:lpwstr>_Toc124325898</vt:lpwstr>
      </vt:variant>
      <vt:variant>
        <vt:i4>1703999</vt:i4>
      </vt:variant>
      <vt:variant>
        <vt:i4>200</vt:i4>
      </vt:variant>
      <vt:variant>
        <vt:i4>0</vt:i4>
      </vt:variant>
      <vt:variant>
        <vt:i4>5</vt:i4>
      </vt:variant>
      <vt:variant>
        <vt:lpwstr/>
      </vt:variant>
      <vt:variant>
        <vt:lpwstr>_Toc124325897</vt:lpwstr>
      </vt:variant>
      <vt:variant>
        <vt:i4>1703999</vt:i4>
      </vt:variant>
      <vt:variant>
        <vt:i4>194</vt:i4>
      </vt:variant>
      <vt:variant>
        <vt:i4>0</vt:i4>
      </vt:variant>
      <vt:variant>
        <vt:i4>5</vt:i4>
      </vt:variant>
      <vt:variant>
        <vt:lpwstr/>
      </vt:variant>
      <vt:variant>
        <vt:lpwstr>_Toc124325896</vt:lpwstr>
      </vt:variant>
      <vt:variant>
        <vt:i4>1703999</vt:i4>
      </vt:variant>
      <vt:variant>
        <vt:i4>188</vt:i4>
      </vt:variant>
      <vt:variant>
        <vt:i4>0</vt:i4>
      </vt:variant>
      <vt:variant>
        <vt:i4>5</vt:i4>
      </vt:variant>
      <vt:variant>
        <vt:lpwstr/>
      </vt:variant>
      <vt:variant>
        <vt:lpwstr>_Toc124325895</vt:lpwstr>
      </vt:variant>
      <vt:variant>
        <vt:i4>1703999</vt:i4>
      </vt:variant>
      <vt:variant>
        <vt:i4>182</vt:i4>
      </vt:variant>
      <vt:variant>
        <vt:i4>0</vt:i4>
      </vt:variant>
      <vt:variant>
        <vt:i4>5</vt:i4>
      </vt:variant>
      <vt:variant>
        <vt:lpwstr/>
      </vt:variant>
      <vt:variant>
        <vt:lpwstr>_Toc124325894</vt:lpwstr>
      </vt:variant>
      <vt:variant>
        <vt:i4>1703999</vt:i4>
      </vt:variant>
      <vt:variant>
        <vt:i4>176</vt:i4>
      </vt:variant>
      <vt:variant>
        <vt:i4>0</vt:i4>
      </vt:variant>
      <vt:variant>
        <vt:i4>5</vt:i4>
      </vt:variant>
      <vt:variant>
        <vt:lpwstr/>
      </vt:variant>
      <vt:variant>
        <vt:lpwstr>_Toc124325893</vt:lpwstr>
      </vt:variant>
      <vt:variant>
        <vt:i4>1703999</vt:i4>
      </vt:variant>
      <vt:variant>
        <vt:i4>170</vt:i4>
      </vt:variant>
      <vt:variant>
        <vt:i4>0</vt:i4>
      </vt:variant>
      <vt:variant>
        <vt:i4>5</vt:i4>
      </vt:variant>
      <vt:variant>
        <vt:lpwstr/>
      </vt:variant>
      <vt:variant>
        <vt:lpwstr>_Toc124325892</vt:lpwstr>
      </vt:variant>
      <vt:variant>
        <vt:i4>1703999</vt:i4>
      </vt:variant>
      <vt:variant>
        <vt:i4>164</vt:i4>
      </vt:variant>
      <vt:variant>
        <vt:i4>0</vt:i4>
      </vt:variant>
      <vt:variant>
        <vt:i4>5</vt:i4>
      </vt:variant>
      <vt:variant>
        <vt:lpwstr/>
      </vt:variant>
      <vt:variant>
        <vt:lpwstr>_Toc124325891</vt:lpwstr>
      </vt:variant>
      <vt:variant>
        <vt:i4>1703999</vt:i4>
      </vt:variant>
      <vt:variant>
        <vt:i4>158</vt:i4>
      </vt:variant>
      <vt:variant>
        <vt:i4>0</vt:i4>
      </vt:variant>
      <vt:variant>
        <vt:i4>5</vt:i4>
      </vt:variant>
      <vt:variant>
        <vt:lpwstr/>
      </vt:variant>
      <vt:variant>
        <vt:lpwstr>_Toc124325890</vt:lpwstr>
      </vt:variant>
      <vt:variant>
        <vt:i4>1769535</vt:i4>
      </vt:variant>
      <vt:variant>
        <vt:i4>152</vt:i4>
      </vt:variant>
      <vt:variant>
        <vt:i4>0</vt:i4>
      </vt:variant>
      <vt:variant>
        <vt:i4>5</vt:i4>
      </vt:variant>
      <vt:variant>
        <vt:lpwstr/>
      </vt:variant>
      <vt:variant>
        <vt:lpwstr>_Toc124325889</vt:lpwstr>
      </vt:variant>
      <vt:variant>
        <vt:i4>1769535</vt:i4>
      </vt:variant>
      <vt:variant>
        <vt:i4>146</vt:i4>
      </vt:variant>
      <vt:variant>
        <vt:i4>0</vt:i4>
      </vt:variant>
      <vt:variant>
        <vt:i4>5</vt:i4>
      </vt:variant>
      <vt:variant>
        <vt:lpwstr/>
      </vt:variant>
      <vt:variant>
        <vt:lpwstr>_Toc124325888</vt:lpwstr>
      </vt:variant>
      <vt:variant>
        <vt:i4>1769535</vt:i4>
      </vt:variant>
      <vt:variant>
        <vt:i4>140</vt:i4>
      </vt:variant>
      <vt:variant>
        <vt:i4>0</vt:i4>
      </vt:variant>
      <vt:variant>
        <vt:i4>5</vt:i4>
      </vt:variant>
      <vt:variant>
        <vt:lpwstr/>
      </vt:variant>
      <vt:variant>
        <vt:lpwstr>_Toc124325887</vt:lpwstr>
      </vt:variant>
      <vt:variant>
        <vt:i4>1769535</vt:i4>
      </vt:variant>
      <vt:variant>
        <vt:i4>134</vt:i4>
      </vt:variant>
      <vt:variant>
        <vt:i4>0</vt:i4>
      </vt:variant>
      <vt:variant>
        <vt:i4>5</vt:i4>
      </vt:variant>
      <vt:variant>
        <vt:lpwstr/>
      </vt:variant>
      <vt:variant>
        <vt:lpwstr>_Toc124325886</vt:lpwstr>
      </vt:variant>
      <vt:variant>
        <vt:i4>1769535</vt:i4>
      </vt:variant>
      <vt:variant>
        <vt:i4>128</vt:i4>
      </vt:variant>
      <vt:variant>
        <vt:i4>0</vt:i4>
      </vt:variant>
      <vt:variant>
        <vt:i4>5</vt:i4>
      </vt:variant>
      <vt:variant>
        <vt:lpwstr/>
      </vt:variant>
      <vt:variant>
        <vt:lpwstr>_Toc124325885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吴晗</dc:creator>
  <cp:lastModifiedBy>赵航</cp:lastModifiedBy>
  <cp:revision>2</cp:revision>
  <cp:lastPrinted>2016-11-17T02:01:00Z</cp:lastPrinted>
  <dcterms:created xsi:type="dcterms:W3CDTF">2017-05-24T06:55:00Z</dcterms:created>
  <dcterms:modified xsi:type="dcterms:W3CDTF">2017-05-24T06:55:00Z</dcterms:modified>
</cp:coreProperties>
</file>