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01" w:rsidRPr="00DE2106" w:rsidRDefault="000A4401" w:rsidP="000A4401">
      <w:pPr>
        <w:ind w:left="360"/>
        <w:jc w:val="center"/>
        <w:rPr>
          <w:rFonts w:ascii="彩虹粗仿宋" w:eastAsia="彩虹粗仿宋" w:hint="eastAsia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中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3号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0A4401" w:rsidRPr="00DE2106" w:rsidRDefault="000A4401" w:rsidP="000A4401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7年4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28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0A4401" w:rsidRPr="00DE2106" w:rsidRDefault="000A4401" w:rsidP="000A4401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3号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日正式成立，投资运作正常。截至报告日，目前本产品总资产规模为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825,060,789.41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A4401" w:rsidRPr="00DE2106" w:rsidRDefault="000A4401" w:rsidP="000A4401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0A4401" w:rsidRPr="00291746" w:rsidRDefault="000A4401" w:rsidP="000A4401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截至2017年4月28日，产品单位净值为0</w:t>
      </w:r>
      <w:r w:rsidRPr="009300F4">
        <w:rPr>
          <w:rFonts w:eastAsia="彩虹粗仿宋"/>
          <w:color w:val="000000"/>
          <w:sz w:val="28"/>
          <w:szCs w:val="28"/>
        </w:rPr>
        <w:t>.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9996。</w:t>
      </w:r>
    </w:p>
    <w:p w:rsidR="000A4401" w:rsidRPr="00DE2106" w:rsidRDefault="000A4401" w:rsidP="000A4401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0A4401" w:rsidRPr="00DE2106" w:rsidRDefault="000A4401" w:rsidP="000A4401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二、、产品投资组合详细情况</w:t>
      </w:r>
    </w:p>
    <w:p w:rsidR="000A4401" w:rsidRPr="00DE2106" w:rsidRDefault="000A4401" w:rsidP="000A4401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一）投资组合的基本情况</w:t>
      </w:r>
    </w:p>
    <w:p w:rsidR="000A4401" w:rsidRPr="0000530E" w:rsidRDefault="000A4401" w:rsidP="000A4401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截至2017年4月28日，本产品的资金实际全部投资于现金、债券、股票、基金、买入返售金融资产等。</w:t>
      </w:r>
    </w:p>
    <w:p w:rsidR="000A4401" w:rsidRPr="002E2785" w:rsidRDefault="000A4401" w:rsidP="000A4401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0A4401" w:rsidRPr="00DE2106" w:rsidRDefault="000A4401" w:rsidP="000A4401">
      <w:pPr>
        <w:jc w:val="center"/>
        <w:rPr>
          <w:rFonts w:ascii="彩虹粗仿宋" w:eastAsia="彩虹粗仿宋" w:hint="eastAsia"/>
        </w:rPr>
      </w:pPr>
      <w:r>
        <w:rPr>
          <w:rFonts w:ascii="彩虹粗仿宋" w:eastAsia="彩虹粗仿宋"/>
          <w:noProof/>
        </w:rPr>
        <w:drawing>
          <wp:inline distT="0" distB="0" distL="0" distR="0">
            <wp:extent cx="4746671" cy="2926289"/>
            <wp:effectExtent l="10553" t="5231" r="5276" b="2180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4401" w:rsidRPr="00DE2106" w:rsidRDefault="000A4401" w:rsidP="000A4401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0A4401" w:rsidRPr="00C645FC" w:rsidRDefault="000A4401" w:rsidP="000A4401">
      <w:pPr>
        <w:ind w:firstLineChars="152" w:firstLine="426"/>
        <w:jc w:val="lef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利率债投资余额：0.4亿元；信用债投资余额：7.76亿元。其中信用债评级情况如下：</w:t>
      </w:r>
    </w:p>
    <w:p w:rsidR="000A4401" w:rsidRPr="00DE2106" w:rsidRDefault="000A4401" w:rsidP="000A4401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/>
          <w:noProof/>
          <w:color w:val="000000"/>
          <w:sz w:val="28"/>
          <w:szCs w:val="28"/>
        </w:rPr>
        <w:drawing>
          <wp:inline distT="0" distB="0" distL="0" distR="0">
            <wp:extent cx="4572750" cy="2743458"/>
            <wp:effectExtent l="12200" t="6092" r="6100" b="0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A4401" w:rsidRPr="00DE2106" w:rsidRDefault="000A4401" w:rsidP="000A4401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0A4401" w:rsidRPr="00DE2106" w:rsidRDefault="000A4401" w:rsidP="000A4401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0A4401" w:rsidRPr="00DE2106" w:rsidRDefault="000A4401" w:rsidP="000A4401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0A4401" w:rsidRPr="00DE2106" w:rsidRDefault="000A4401" w:rsidP="000A4401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A4401" w:rsidRPr="00DE2106" w:rsidRDefault="000A4401" w:rsidP="000A4401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0A4401" w:rsidRPr="00DE2106" w:rsidRDefault="000A4401" w:rsidP="000A4401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5月4日</w:t>
      </w:r>
    </w:p>
    <w:p w:rsidR="000A4401" w:rsidRPr="00DE2106" w:rsidRDefault="000A4401" w:rsidP="000A4401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0A4401" w:rsidRPr="00F13531" w:rsidRDefault="000A4401" w:rsidP="000A4401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8D113F" w:rsidRDefault="008D113F"/>
    <w:sectPr w:rsidR="008D113F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A4401"/>
    <w:rsid w:val="000A4401"/>
    <w:rsid w:val="008D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44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440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AppData\Local\Microsoft\Windows\Temporary%20Internet%20Files\Content.Outlook\II3EV8FF\&#24314;&#20449;&#36164;&#26412;&#23433;&#37995;1&#12289;2&#21495;&#65293;&#25237;&#21518;&#31649;&#29702;&#21488;&#36134;&#12304;2017-04-27&#1230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AppData\Local\Microsoft\Windows\Temporary%20Internet%20Files\Content.Outlook\II3EV8FF\&#24314;&#20449;&#36164;&#26412;&#23433;&#37995;1&#12289;2&#21495;&#65293;&#25237;&#21518;&#31649;&#29702;&#21488;&#36134;&#12304;2017-04-27&#1230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 sz="2400"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 sz="2400">
                <a:latin typeface="彩虹粗仿宋" pitchFamily="65" charset="-122"/>
                <a:ea typeface="彩虹粗仿宋" pitchFamily="65" charset="-122"/>
              </a:rPr>
              <a:t>投资资产分布情况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安鑫2号!$D$190:$D$195</c:f>
              <c:strCache>
                <c:ptCount val="6"/>
                <c:pt idx="0">
                  <c:v>债券投资</c:v>
                </c:pt>
                <c:pt idx="1">
                  <c:v>现金类资产</c:v>
                </c:pt>
                <c:pt idx="2">
                  <c:v>股票投资</c:v>
                </c:pt>
                <c:pt idx="3">
                  <c:v>应收利息</c:v>
                </c:pt>
                <c:pt idx="4">
                  <c:v>买入返售金融资产</c:v>
                </c:pt>
                <c:pt idx="5">
                  <c:v>基金投资</c:v>
                </c:pt>
              </c:strCache>
            </c:strRef>
          </c:cat>
          <c:val>
            <c:numRef>
              <c:f>安鑫2号!$E$190:$E$195</c:f>
              <c:numCache>
                <c:formatCode>0.00%</c:formatCode>
                <c:ptCount val="6"/>
                <c:pt idx="0">
                  <c:v>0.76164111679714785</c:v>
                </c:pt>
                <c:pt idx="1">
                  <c:v>0.15062722990875366</c:v>
                </c:pt>
                <c:pt idx="2">
                  <c:v>7.0959013130580562E-2</c:v>
                </c:pt>
                <c:pt idx="3">
                  <c:v>1.3506343871195951E-2</c:v>
                </c:pt>
                <c:pt idx="4">
                  <c:v>3.2652701018931643E-3</c:v>
                </c:pt>
                <c:pt idx="5">
                  <c:v>1.0261904289366878E-6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  <c:txPr>
        <a:bodyPr/>
        <a:lstStyle/>
        <a:p>
          <a:pPr>
            <a:defRPr sz="12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 sz="2000"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 sz="2000">
                <a:latin typeface="彩虹粗仿宋" pitchFamily="65" charset="-122"/>
                <a:ea typeface="彩虹粗仿宋" pitchFamily="65" charset="-122"/>
              </a:rPr>
              <a:t>信用债评级分布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安鑫2号!$N$69:$N$71</c:f>
              <c:strCache>
                <c:ptCount val="3"/>
                <c:pt idx="0">
                  <c:v>AAA</c:v>
                </c:pt>
                <c:pt idx="1">
                  <c:v>AA</c:v>
                </c:pt>
                <c:pt idx="2">
                  <c:v>AA+</c:v>
                </c:pt>
              </c:strCache>
            </c:strRef>
          </c:cat>
          <c:val>
            <c:numRef>
              <c:f>安鑫2号!$O$69:$O$71</c:f>
              <c:numCache>
                <c:formatCode>General</c:formatCode>
                <c:ptCount val="3"/>
                <c:pt idx="0">
                  <c:v>4.18</c:v>
                </c:pt>
                <c:pt idx="1">
                  <c:v>1.85</c:v>
                </c:pt>
                <c:pt idx="2">
                  <c:v>1.73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8588888888888897"/>
          <c:y val="0.37814814814814818"/>
          <c:w val="9.6666666666666776E-2"/>
          <c:h val="0.24833333333333352"/>
        </c:manualLayout>
      </c:layout>
      <c:txPr>
        <a:bodyPr/>
        <a:lstStyle/>
        <a:p>
          <a:pPr>
            <a:defRPr sz="12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2017-05-05T06:24:00Z</dcterms:created>
  <dcterms:modified xsi:type="dcterms:W3CDTF">2017-05-05T06:27:00Z</dcterms:modified>
</cp:coreProperties>
</file>