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彩虹粗仿宋" w:hAnsi="宋体" w:eastAsia="彩虹粗仿宋" w:cs="Times New Roman"/>
          <w:b/>
          <w:snapToGrid w:val="0"/>
          <w:kern w:val="0"/>
          <w:sz w:val="32"/>
          <w:szCs w:val="32"/>
        </w:rPr>
      </w:pPr>
      <w:r>
        <w:rPr>
          <w:rFonts w:hint="eastAsia" w:ascii="彩虹粗仿宋" w:hAnsi="宋体" w:eastAsia="彩虹粗仿宋"/>
          <w:b/>
          <w:kern w:val="0"/>
          <w:sz w:val="40"/>
          <w:szCs w:val="30"/>
          <w:lang w:val="zh-CN"/>
        </w:rPr>
        <w:t>中国建设银行厦门市分行</w:t>
      </w:r>
      <w:r>
        <w:rPr>
          <w:rFonts w:hint="eastAsia" w:ascii="彩虹粗仿宋" w:hAnsi="宋体" w:eastAsia="彩虹粗仿宋"/>
          <w:b/>
          <w:kern w:val="0"/>
          <w:sz w:val="40"/>
          <w:szCs w:val="30"/>
          <w:lang w:val="en-US" w:eastAsia="zh-CN"/>
        </w:rPr>
        <w:t>2025年房票系统二期升级开发采购</w:t>
      </w:r>
      <w:r>
        <w:rPr>
          <w:rFonts w:hint="eastAsia" w:ascii="彩虹粗仿宋" w:hAnsi="宋体" w:eastAsia="彩虹粗仿宋"/>
          <w:b/>
          <w:kern w:val="0"/>
          <w:sz w:val="40"/>
          <w:szCs w:val="30"/>
          <w:lang w:val="zh-CN" w:eastAsia="zh-CN"/>
        </w:rPr>
        <w:t>项目</w:t>
      </w:r>
      <w:r>
        <w:rPr>
          <w:rFonts w:hint="eastAsia" w:ascii="彩虹粗仿宋" w:hAnsi="宋体" w:eastAsia="彩虹粗仿宋"/>
          <w:b/>
          <w:kern w:val="0"/>
          <w:sz w:val="40"/>
          <w:szCs w:val="30"/>
          <w:lang w:val="zh-CN"/>
        </w:rPr>
        <w:t>采购需求</w:t>
      </w:r>
    </w:p>
    <w:p>
      <w:pPr>
        <w:adjustRightInd w:val="0"/>
        <w:snapToGrid w:val="0"/>
        <w:spacing w:line="560" w:lineRule="atLeast"/>
        <w:ind w:firstLine="643" w:firstLineChars="200"/>
        <w:rPr>
          <w:rFonts w:ascii="彩虹粗仿宋" w:hAnsi="宋体" w:eastAsia="彩虹粗仿宋" w:cs="Times New Roman"/>
          <w:b/>
          <w:snapToGrid w:val="0"/>
          <w:kern w:val="0"/>
          <w:sz w:val="32"/>
          <w:szCs w:val="32"/>
        </w:rPr>
      </w:pPr>
      <w:r>
        <w:rPr>
          <w:rFonts w:hint="eastAsia" w:ascii="彩虹粗仿宋" w:hAnsi="宋体" w:eastAsia="彩虹粗仿宋" w:cs="Times New Roman"/>
          <w:b/>
          <w:snapToGrid w:val="0"/>
          <w:kern w:val="0"/>
          <w:sz w:val="32"/>
          <w:szCs w:val="32"/>
        </w:rPr>
        <w:t>一、服务供应商要求</w:t>
      </w:r>
    </w:p>
    <w:p>
      <w:pPr>
        <w:pStyle w:val="7"/>
        <w:shd w:val="clear" w:color="auto" w:fill="FFFFFF"/>
        <w:ind w:firstLine="645"/>
        <w:rPr>
          <w:rFonts w:hint="default" w:ascii="彩虹粗仿宋" w:hAnsi="宋体" w:eastAsia="彩虹粗仿宋" w:cs="Times New Roman"/>
          <w:snapToGrid w:val="0"/>
          <w:kern w:val="0"/>
          <w:sz w:val="32"/>
          <w:szCs w:val="32"/>
          <w:lang w:val="en-US" w:eastAsia="zh-CN" w:bidi="ar-SA"/>
        </w:rPr>
      </w:pPr>
      <w:r>
        <w:rPr>
          <w:rFonts w:hint="eastAsia" w:ascii="彩虹粗仿宋" w:hAnsi="宋体" w:eastAsia="彩虹粗仿宋" w:cs="Times New Roman"/>
          <w:snapToGrid w:val="0"/>
          <w:kern w:val="0"/>
          <w:sz w:val="32"/>
          <w:szCs w:val="32"/>
          <w:lang w:val="en-US" w:eastAsia="zh-CN" w:bidi="ar-SA"/>
        </w:rPr>
        <w:t>1.企业必须是在中华人民共和国境内注册的具有独立承担民事责任能力的法人。</w:t>
      </w:r>
    </w:p>
    <w:p>
      <w:pPr>
        <w:pStyle w:val="7"/>
        <w:shd w:val="clear" w:color="auto" w:fill="FFFFFF"/>
        <w:ind w:firstLine="645"/>
        <w:rPr>
          <w:rFonts w:hint="eastAsia" w:ascii="彩虹粗仿宋" w:hAnsi="宋体" w:eastAsia="彩虹粗仿宋" w:cs="Times New Roman"/>
          <w:snapToGrid w:val="0"/>
          <w:kern w:val="0"/>
          <w:sz w:val="32"/>
          <w:szCs w:val="32"/>
          <w:lang w:val="en-US" w:eastAsia="zh-CN" w:bidi="ar-SA"/>
        </w:rPr>
      </w:pPr>
      <w:r>
        <w:rPr>
          <w:rFonts w:hint="eastAsia" w:ascii="彩虹粗仿宋" w:hAnsi="宋体" w:eastAsia="彩虹粗仿宋" w:cs="Times New Roman"/>
          <w:snapToGrid w:val="0"/>
          <w:kern w:val="0"/>
          <w:sz w:val="32"/>
          <w:szCs w:val="32"/>
          <w:lang w:val="en-US" w:eastAsia="zh-CN" w:bidi="ar-SA"/>
        </w:rPr>
        <w:t>2.企业须有固定的营业场所。</w:t>
      </w:r>
    </w:p>
    <w:p>
      <w:pPr>
        <w:pStyle w:val="7"/>
        <w:shd w:val="clear" w:color="auto" w:fill="FFFFFF"/>
        <w:ind w:firstLine="645"/>
        <w:rPr>
          <w:rFonts w:hint="eastAsia" w:ascii="彩虹粗仿宋" w:hAnsi="宋体" w:eastAsia="彩虹粗仿宋" w:cs="Times New Roman"/>
          <w:snapToGrid w:val="0"/>
          <w:kern w:val="0"/>
          <w:sz w:val="32"/>
          <w:szCs w:val="32"/>
          <w:lang w:val="en-US" w:eastAsia="zh-CN" w:bidi="ar-SA"/>
        </w:rPr>
      </w:pPr>
      <w:r>
        <w:rPr>
          <w:rFonts w:hint="eastAsia" w:ascii="彩虹粗仿宋" w:hAnsi="宋体" w:eastAsia="彩虹粗仿宋" w:cs="Times New Roman"/>
          <w:snapToGrid w:val="0"/>
          <w:kern w:val="0"/>
          <w:sz w:val="32"/>
          <w:szCs w:val="32"/>
          <w:lang w:val="en-US" w:eastAsia="zh-CN" w:bidi="ar-SA"/>
        </w:rPr>
        <w:t>3.企业须具有ISO9001质量管理体系认证证书、ISO20000信息技术服务管理体系认证证书、ISO27001信息安全管理体系认证证书等相关资质。</w:t>
      </w:r>
    </w:p>
    <w:p>
      <w:pPr>
        <w:pStyle w:val="7"/>
        <w:shd w:val="clear" w:color="auto" w:fill="FFFFFF"/>
        <w:ind w:firstLine="645"/>
        <w:rPr>
          <w:rFonts w:hint="eastAsia" w:ascii="彩虹粗仿宋" w:hAnsi="宋体" w:eastAsia="彩虹粗仿宋" w:cs="Times New Roman"/>
          <w:snapToGrid w:val="0"/>
          <w:kern w:val="0"/>
          <w:sz w:val="32"/>
          <w:szCs w:val="32"/>
          <w:lang w:val="en-US" w:eastAsia="zh-CN" w:bidi="ar-SA"/>
        </w:rPr>
      </w:pPr>
      <w:r>
        <w:rPr>
          <w:rFonts w:hint="eastAsia" w:ascii="彩虹粗仿宋" w:hAnsi="宋体" w:eastAsia="彩虹粗仿宋" w:cs="Times New Roman"/>
          <w:snapToGrid w:val="0"/>
          <w:kern w:val="0"/>
          <w:sz w:val="32"/>
          <w:szCs w:val="32"/>
          <w:lang w:val="en-US" w:eastAsia="zh-CN" w:bidi="ar-SA"/>
        </w:rPr>
        <w:t>4.企业须具有政府信息、档案、资金管理类系统相关的软件著作权。</w:t>
      </w:r>
    </w:p>
    <w:p>
      <w:pPr>
        <w:pStyle w:val="7"/>
        <w:shd w:val="clear" w:color="auto" w:fill="FFFFFF"/>
        <w:ind w:firstLine="645"/>
        <w:rPr>
          <w:rFonts w:hint="eastAsia" w:ascii="彩虹粗仿宋" w:hAnsi="宋体" w:eastAsia="彩虹粗仿宋" w:cs="Times New Roman"/>
          <w:snapToGrid w:val="0"/>
          <w:kern w:val="0"/>
          <w:sz w:val="32"/>
          <w:szCs w:val="32"/>
          <w:lang w:val="en-US" w:eastAsia="zh-CN" w:bidi="ar-SA"/>
        </w:rPr>
      </w:pPr>
      <w:r>
        <w:rPr>
          <w:rFonts w:hint="eastAsia" w:ascii="彩虹粗仿宋" w:hAnsi="宋体" w:eastAsia="彩虹粗仿宋" w:cs="Times New Roman"/>
          <w:snapToGrid w:val="0"/>
          <w:kern w:val="0"/>
          <w:sz w:val="32"/>
          <w:szCs w:val="32"/>
          <w:lang w:val="en-US" w:eastAsia="zh-CN" w:bidi="ar-SA"/>
        </w:rPr>
        <w:t>5.企业需成立三年以上，经营状况正常且最近一年净利润为正数。</w:t>
      </w:r>
    </w:p>
    <w:p>
      <w:pPr>
        <w:adjustRightInd w:val="0"/>
        <w:snapToGrid w:val="0"/>
        <w:spacing w:line="560" w:lineRule="atLeast"/>
        <w:ind w:firstLine="640" w:firstLineChars="200"/>
        <w:rPr>
          <w:rFonts w:hint="eastAsia" w:ascii="彩虹粗仿宋" w:hAnsi="宋体" w:eastAsia="彩虹粗仿宋" w:cs="Times New Roman"/>
          <w:snapToGrid w:val="0"/>
          <w:kern w:val="0"/>
          <w:sz w:val="32"/>
          <w:szCs w:val="32"/>
          <w:lang w:val="en-US" w:eastAsia="zh-CN" w:bidi="ar-SA"/>
        </w:rPr>
      </w:pPr>
      <w:r>
        <w:rPr>
          <w:rFonts w:hint="eastAsia" w:ascii="彩虹粗仿宋" w:hAnsi="宋体" w:eastAsia="彩虹粗仿宋" w:cs="Times New Roman"/>
          <w:snapToGrid w:val="0"/>
          <w:kern w:val="0"/>
          <w:sz w:val="32"/>
          <w:szCs w:val="32"/>
          <w:lang w:val="en-US" w:eastAsia="zh-CN" w:bidi="ar-SA"/>
        </w:rPr>
        <w:t>6.自2022年05月1日起，企业具有与政府信息、档案、资金管理类系统开发相关的合作案例；符合资格要求且有房票系统开发服务合作案例的企业优先。</w:t>
      </w:r>
    </w:p>
    <w:p>
      <w:pPr>
        <w:adjustRightInd w:val="0"/>
        <w:snapToGrid w:val="0"/>
        <w:spacing w:line="560" w:lineRule="atLeast"/>
        <w:ind w:firstLine="643" w:firstLineChars="200"/>
        <w:rPr>
          <w:rFonts w:ascii="彩虹粗仿宋" w:hAnsi="宋体" w:eastAsia="彩虹粗仿宋" w:cs="Times New Roman"/>
          <w:b/>
          <w:snapToGrid w:val="0"/>
          <w:kern w:val="0"/>
          <w:sz w:val="32"/>
          <w:szCs w:val="32"/>
        </w:rPr>
      </w:pPr>
      <w:r>
        <w:rPr>
          <w:rFonts w:hint="eastAsia" w:ascii="彩虹粗仿宋" w:hAnsi="宋体" w:eastAsia="彩虹粗仿宋" w:cs="Times New Roman"/>
          <w:b/>
          <w:snapToGrid w:val="0"/>
          <w:kern w:val="0"/>
          <w:sz w:val="32"/>
          <w:szCs w:val="32"/>
        </w:rPr>
        <w:t>二、</w:t>
      </w:r>
      <w:r>
        <w:rPr>
          <w:rFonts w:hint="eastAsia" w:ascii="彩虹粗仿宋" w:hAnsi="宋体" w:eastAsia="彩虹粗仿宋" w:cs="Times New Roman"/>
          <w:b/>
          <w:snapToGrid w:val="0"/>
          <w:kern w:val="0"/>
          <w:sz w:val="32"/>
          <w:szCs w:val="32"/>
          <w:lang w:eastAsia="zh-CN"/>
        </w:rPr>
        <w:t>项目采购需</w:t>
      </w:r>
      <w:r>
        <w:rPr>
          <w:rFonts w:hint="eastAsia" w:ascii="彩虹粗仿宋" w:hAnsi="宋体" w:eastAsia="彩虹粗仿宋" w:cs="Times New Roman"/>
          <w:b/>
          <w:snapToGrid w:val="0"/>
          <w:kern w:val="0"/>
          <w:sz w:val="32"/>
          <w:szCs w:val="32"/>
        </w:rPr>
        <w:t>求</w:t>
      </w:r>
    </w:p>
    <w:p>
      <w:pPr>
        <w:adjustRightInd w:val="0"/>
        <w:snapToGrid w:val="0"/>
        <w:spacing w:line="560" w:lineRule="atLeast"/>
        <w:ind w:firstLine="643" w:firstLineChars="200"/>
        <w:rPr>
          <w:rFonts w:ascii="彩虹粗仿宋" w:hAnsi="宋体" w:eastAsia="彩虹粗仿宋" w:cs="Times New Roman"/>
          <w:b/>
          <w:snapToGrid w:val="0"/>
          <w:kern w:val="0"/>
          <w:sz w:val="32"/>
          <w:szCs w:val="32"/>
        </w:rPr>
      </w:pPr>
      <w:r>
        <w:rPr>
          <w:rFonts w:hint="eastAsia" w:ascii="彩虹粗仿宋" w:hAnsi="宋体" w:eastAsia="彩虹粗仿宋" w:cs="Times New Roman"/>
          <w:b/>
          <w:snapToGrid w:val="0"/>
          <w:kern w:val="0"/>
          <w:sz w:val="32"/>
          <w:szCs w:val="32"/>
        </w:rPr>
        <w:t>（一）基本要求</w:t>
      </w:r>
    </w:p>
    <w:p>
      <w:pPr>
        <w:adjustRightInd w:val="0"/>
        <w:snapToGrid w:val="0"/>
        <w:spacing w:line="560" w:lineRule="atLeas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房票系统二期升级开发。</w:t>
      </w:r>
    </w:p>
    <w:p>
      <w:pPr>
        <w:numPr>
          <w:ilvl w:val="0"/>
          <w:numId w:val="2"/>
        </w:numPr>
        <w:adjustRightInd w:val="0"/>
        <w:snapToGrid w:val="0"/>
        <w:spacing w:line="560" w:lineRule="atLeast"/>
        <w:ind w:firstLine="643" w:firstLineChars="200"/>
        <w:rPr>
          <w:rFonts w:hint="eastAsia" w:ascii="彩虹粗仿宋" w:hAnsi="宋体" w:eastAsia="彩虹粗仿宋" w:cs="Times New Roman"/>
          <w:b/>
          <w:snapToGrid w:val="0"/>
          <w:kern w:val="0"/>
          <w:sz w:val="32"/>
          <w:szCs w:val="32"/>
          <w:highlight w:val="none"/>
        </w:rPr>
      </w:pPr>
      <w:r>
        <w:rPr>
          <w:rFonts w:hint="eastAsia" w:ascii="彩虹粗仿宋" w:hAnsi="宋体" w:eastAsia="彩虹粗仿宋" w:cs="Times New Roman"/>
          <w:b/>
          <w:snapToGrid w:val="0"/>
          <w:kern w:val="0"/>
          <w:sz w:val="32"/>
          <w:szCs w:val="32"/>
          <w:highlight w:val="none"/>
          <w:lang w:eastAsia="zh-CN"/>
        </w:rPr>
        <w:t>项目</w:t>
      </w:r>
      <w:r>
        <w:rPr>
          <w:rFonts w:hint="eastAsia" w:ascii="彩虹粗仿宋" w:hAnsi="宋体" w:eastAsia="彩虹粗仿宋" w:cs="Times New Roman"/>
          <w:b/>
          <w:snapToGrid w:val="0"/>
          <w:kern w:val="0"/>
          <w:sz w:val="32"/>
          <w:szCs w:val="32"/>
          <w:highlight w:val="none"/>
        </w:rPr>
        <w:t>内容</w:t>
      </w:r>
    </w:p>
    <w:p>
      <w:pPr>
        <w:adjustRightInd w:val="0"/>
        <w:snapToGrid w:val="0"/>
        <w:spacing w:line="560" w:lineRule="atLeast"/>
        <w:ind w:firstLine="640" w:firstLineChars="200"/>
        <w:rPr>
          <w:rFonts w:hint="eastAsia" w:ascii="彩虹粗仿宋" w:hAnsi="宋体" w:eastAsia="彩虹粗仿宋" w:cs="Times New Roman"/>
          <w:snapToGrid w:val="0"/>
          <w:kern w:val="0"/>
          <w:sz w:val="32"/>
          <w:szCs w:val="32"/>
          <w:lang w:val="en-US" w:eastAsia="zh-CN" w:bidi="ar-SA"/>
        </w:rPr>
      </w:pPr>
      <w:r>
        <w:rPr>
          <w:rFonts w:hint="eastAsia" w:ascii="彩虹粗仿宋" w:hAnsi="宋体" w:eastAsia="彩虹粗仿宋" w:cs="Times New Roman"/>
          <w:snapToGrid w:val="0"/>
          <w:kern w:val="0"/>
          <w:sz w:val="32"/>
          <w:szCs w:val="32"/>
          <w:lang w:val="en-US" w:eastAsia="zh-CN" w:bidi="ar-SA"/>
        </w:rPr>
        <w:t>根据政府需求及要求，在保证房票系统稳定运行的基础上进行升级迭代开发，实现相关部门多跨协同，进一步提升房票系统的易用性及体验感。</w:t>
      </w:r>
    </w:p>
    <w:tbl>
      <w:tblPr>
        <w:tblStyle w:val="9"/>
        <w:tblW w:w="14115" w:type="dxa"/>
        <w:tblInd w:w="1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2720"/>
        <w:gridCol w:w="4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00" w:type="dxa"/>
            <w:vAlign w:val="center"/>
          </w:tcPr>
          <w:p>
            <w:pPr>
              <w:autoSpaceDE w:val="0"/>
              <w:autoSpaceDN w:val="0"/>
              <w:spacing w:line="360" w:lineRule="auto"/>
              <w:jc w:val="center"/>
              <w:rPr>
                <w:rFonts w:hint="eastAsia" w:ascii="楷体" w:hAnsi="楷体" w:eastAsia="楷体" w:cs="宋体"/>
                <w:b/>
                <w:bCs/>
                <w:sz w:val="24"/>
              </w:rPr>
            </w:pPr>
            <w:r>
              <w:rPr>
                <w:rFonts w:hint="eastAsia" w:ascii="楷体" w:hAnsi="楷体" w:eastAsia="楷体" w:cs="宋体"/>
                <w:b/>
                <w:bCs/>
                <w:sz w:val="24"/>
              </w:rPr>
              <w:t>序号</w:t>
            </w:r>
          </w:p>
        </w:tc>
        <w:tc>
          <w:tcPr>
            <w:tcW w:w="2720" w:type="dxa"/>
            <w:vAlign w:val="center"/>
          </w:tcPr>
          <w:p>
            <w:pPr>
              <w:autoSpaceDE w:val="0"/>
              <w:autoSpaceDN w:val="0"/>
              <w:spacing w:line="360" w:lineRule="auto"/>
              <w:jc w:val="center"/>
              <w:rPr>
                <w:rFonts w:hint="eastAsia" w:ascii="楷体" w:hAnsi="楷体" w:eastAsia="楷体" w:cs="宋体"/>
                <w:b/>
                <w:bCs/>
                <w:sz w:val="24"/>
              </w:rPr>
            </w:pPr>
            <w:r>
              <w:rPr>
                <w:rFonts w:hint="eastAsia" w:ascii="楷体" w:hAnsi="楷体" w:eastAsia="楷体" w:cs="宋体"/>
                <w:b/>
                <w:bCs/>
                <w:sz w:val="24"/>
                <w:lang w:eastAsia="zh-CN"/>
              </w:rPr>
              <w:t>建设内容</w:t>
            </w:r>
            <w:r>
              <w:rPr>
                <w:rFonts w:hint="eastAsia" w:ascii="楷体" w:hAnsi="楷体" w:eastAsia="楷体" w:cs="宋体"/>
                <w:b/>
                <w:bCs/>
                <w:sz w:val="24"/>
              </w:rPr>
              <w:t>类型</w:t>
            </w:r>
          </w:p>
        </w:tc>
        <w:tc>
          <w:tcPr>
            <w:tcW w:w="4950" w:type="dxa"/>
            <w:vAlign w:val="center"/>
          </w:tcPr>
          <w:p>
            <w:pPr>
              <w:autoSpaceDE w:val="0"/>
              <w:autoSpaceDN w:val="0"/>
              <w:spacing w:line="360" w:lineRule="auto"/>
              <w:jc w:val="center"/>
              <w:rPr>
                <w:rFonts w:hint="eastAsia" w:ascii="楷体" w:hAnsi="楷体" w:eastAsia="楷体" w:cs="宋体"/>
                <w:b/>
                <w:bCs/>
                <w:sz w:val="24"/>
                <w:lang w:eastAsia="zh-CN"/>
              </w:rPr>
            </w:pPr>
            <w:r>
              <w:rPr>
                <w:rFonts w:hint="eastAsia" w:ascii="楷体" w:hAnsi="楷体" w:eastAsia="楷体" w:cs="宋体"/>
                <w:b/>
                <w:bCs/>
                <w:sz w:val="24"/>
              </w:rPr>
              <w:t>备注</w:t>
            </w:r>
            <w:r>
              <w:rPr>
                <w:rFonts w:hint="eastAsia" w:ascii="楷体" w:hAnsi="楷体" w:eastAsia="楷体" w:cs="宋体"/>
                <w:b/>
                <w:bCs/>
                <w:sz w:val="24"/>
                <w:lang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00" w:type="dxa"/>
            <w:noWrap/>
            <w:vAlign w:val="center"/>
          </w:tcPr>
          <w:p>
            <w:pPr>
              <w:autoSpaceDE w:val="0"/>
              <w:autoSpaceDN w:val="0"/>
              <w:spacing w:line="360" w:lineRule="auto"/>
              <w:jc w:val="center"/>
              <w:rPr>
                <w:rFonts w:ascii="楷体" w:hAnsi="楷体" w:eastAsia="楷体" w:cs="宋体"/>
                <w:sz w:val="24"/>
              </w:rPr>
            </w:pPr>
            <w:r>
              <w:rPr>
                <w:rFonts w:hint="eastAsia" w:ascii="楷体" w:hAnsi="楷体" w:eastAsia="楷体" w:cs="宋体"/>
                <w:sz w:val="24"/>
              </w:rPr>
              <w:t>1</w:t>
            </w:r>
          </w:p>
        </w:tc>
        <w:tc>
          <w:tcPr>
            <w:tcW w:w="2720" w:type="dxa"/>
            <w:vAlign w:val="center"/>
          </w:tcPr>
          <w:p>
            <w:pPr>
              <w:autoSpaceDE w:val="0"/>
              <w:autoSpaceDN w:val="0"/>
              <w:spacing w:line="360" w:lineRule="auto"/>
              <w:jc w:val="center"/>
              <w:rPr>
                <w:rFonts w:ascii="楷体" w:hAnsi="楷体" w:eastAsia="楷体" w:cs="宋体"/>
                <w:sz w:val="24"/>
              </w:rPr>
            </w:pPr>
            <w:r>
              <w:rPr>
                <w:rFonts w:hint="eastAsia" w:ascii="楷体" w:hAnsi="楷体" w:eastAsia="楷体" w:cs="宋体"/>
                <w:sz w:val="24"/>
                <w:lang w:val="en-US" w:eastAsia="zh-CN"/>
              </w:rPr>
              <w:t>外部单位接口开发优化</w:t>
            </w:r>
          </w:p>
        </w:tc>
        <w:tc>
          <w:tcPr>
            <w:tcW w:w="4950" w:type="dxa"/>
          </w:tcPr>
          <w:p>
            <w:pPr>
              <w:autoSpaceDE w:val="0"/>
              <w:autoSpaceDN w:val="0"/>
              <w:spacing w:line="360" w:lineRule="auto"/>
              <w:jc w:val="left"/>
              <w:rPr>
                <w:rFonts w:hint="eastAsia" w:ascii="楷体" w:hAnsi="楷体" w:eastAsia="楷体" w:cs="宋体"/>
                <w:sz w:val="24"/>
                <w:lang w:eastAsia="zh-CN"/>
              </w:rPr>
            </w:pPr>
            <w:r>
              <w:rPr>
                <w:rFonts w:hint="eastAsia" w:ascii="楷体" w:hAnsi="楷体" w:eastAsia="楷体" w:cs="宋体"/>
                <w:sz w:val="24"/>
                <w:lang w:eastAsia="zh-CN"/>
              </w:rPr>
              <w:t>预计个数不超过</w:t>
            </w:r>
            <w:r>
              <w:rPr>
                <w:rFonts w:hint="eastAsia" w:ascii="楷体" w:hAnsi="楷体" w:eastAsia="楷体" w:cs="宋体"/>
                <w:sz w:val="24"/>
                <w:lang w:val="en-US" w:eastAsia="zh-CN"/>
              </w:rPr>
              <w:t>8个，</w:t>
            </w:r>
            <w:r>
              <w:rPr>
                <w:rFonts w:hint="eastAsia" w:ascii="楷体" w:hAnsi="楷体" w:eastAsia="楷体" w:cs="宋体"/>
                <w:sz w:val="24"/>
                <w:lang w:eastAsia="zh-CN"/>
              </w:rPr>
              <w:t>需按相关单位指定文档对接开发，或根据需求设计开发并提供文档。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00" w:type="dxa"/>
            <w:noWrap/>
            <w:vAlign w:val="center"/>
          </w:tcPr>
          <w:p>
            <w:pPr>
              <w:autoSpaceDE w:val="0"/>
              <w:autoSpaceDN w:val="0"/>
              <w:spacing w:line="360" w:lineRule="auto"/>
              <w:jc w:val="center"/>
              <w:rPr>
                <w:rFonts w:hint="eastAsia" w:ascii="楷体" w:hAnsi="楷体" w:eastAsia="楷体" w:cs="宋体"/>
                <w:sz w:val="24"/>
                <w:lang w:eastAsia="zh-CN"/>
              </w:rPr>
            </w:pPr>
            <w:r>
              <w:rPr>
                <w:rFonts w:hint="eastAsia" w:ascii="楷体" w:hAnsi="楷体" w:eastAsia="楷体" w:cs="宋体"/>
                <w:sz w:val="24"/>
                <w:lang w:val="en-US" w:eastAsia="zh-CN"/>
              </w:rPr>
              <w:t>2</w:t>
            </w:r>
          </w:p>
        </w:tc>
        <w:tc>
          <w:tcPr>
            <w:tcW w:w="2720" w:type="dxa"/>
            <w:vAlign w:val="center"/>
          </w:tcPr>
          <w:p>
            <w:pPr>
              <w:autoSpaceDE w:val="0"/>
              <w:autoSpaceDN w:val="0"/>
              <w:spacing w:line="360" w:lineRule="auto"/>
              <w:ind w:firstLine="240" w:firstLineChars="100"/>
              <w:jc w:val="center"/>
              <w:rPr>
                <w:rFonts w:ascii="楷体" w:hAnsi="楷体" w:eastAsia="楷体" w:cs="宋体"/>
                <w:sz w:val="24"/>
              </w:rPr>
            </w:pPr>
            <w:r>
              <w:rPr>
                <w:rFonts w:hint="eastAsia" w:ascii="楷体" w:hAnsi="楷体" w:eastAsia="楷体" w:cs="宋体"/>
                <w:sz w:val="24"/>
              </w:rPr>
              <w:t>定制开发</w:t>
            </w:r>
          </w:p>
        </w:tc>
        <w:tc>
          <w:tcPr>
            <w:tcW w:w="4950" w:type="dxa"/>
          </w:tcPr>
          <w:p>
            <w:pPr>
              <w:autoSpaceDE w:val="0"/>
              <w:autoSpaceDN w:val="0"/>
              <w:spacing w:line="360" w:lineRule="auto"/>
              <w:jc w:val="left"/>
              <w:rPr>
                <w:rFonts w:hint="default" w:ascii="楷体" w:hAnsi="楷体" w:eastAsia="楷体" w:cs="宋体"/>
                <w:sz w:val="24"/>
                <w:lang w:val="en-US" w:eastAsia="zh-CN"/>
              </w:rPr>
            </w:pPr>
            <w:r>
              <w:rPr>
                <w:rFonts w:hint="eastAsia" w:ascii="楷体" w:hAnsi="楷体" w:eastAsia="楷体" w:cs="宋体"/>
                <w:sz w:val="24"/>
                <w:lang w:eastAsia="zh-CN"/>
              </w:rPr>
              <w:t>根据政府需求设计开发并提供文档</w:t>
            </w:r>
            <w:r>
              <w:rPr>
                <w:rFonts w:hint="eastAsia" w:ascii="楷体" w:hAnsi="楷体" w:eastAsia="楷体" w:cs="宋体"/>
                <w:sz w:val="24"/>
                <w:lang w:val="en-US" w:eastAsia="zh-CN"/>
              </w:rPr>
              <w:t>（需求提出时间截止到2026年12月31日）</w:t>
            </w:r>
            <w:r>
              <w:rPr>
                <w:rFonts w:hint="eastAsia" w:ascii="楷体" w:hAnsi="楷体" w:eastAsia="楷体" w:cs="宋体"/>
                <w:sz w:val="24"/>
              </w:rPr>
              <w:t>，</w:t>
            </w:r>
            <w:r>
              <w:rPr>
                <w:rFonts w:hint="eastAsia" w:ascii="楷体" w:hAnsi="楷体" w:eastAsia="楷体" w:cs="宋体"/>
                <w:sz w:val="24"/>
                <w:lang w:eastAsia="zh-CN"/>
              </w:rPr>
              <w:t>总工作量</w:t>
            </w:r>
            <w:r>
              <w:rPr>
                <w:rFonts w:hint="eastAsia" w:ascii="楷体" w:hAnsi="楷体" w:eastAsia="楷体" w:cs="宋体"/>
                <w:sz w:val="24"/>
              </w:rPr>
              <w:t>预计</w:t>
            </w:r>
            <w:r>
              <w:rPr>
                <w:rFonts w:hint="eastAsia" w:ascii="楷体" w:hAnsi="楷体" w:eastAsia="楷体" w:cs="宋体"/>
                <w:sz w:val="24"/>
                <w:lang w:val="en-US" w:eastAsia="zh-CN"/>
              </w:rPr>
              <w:t>35</w:t>
            </w:r>
            <w:r>
              <w:rPr>
                <w:rFonts w:hint="eastAsia" w:ascii="楷体" w:hAnsi="楷体" w:eastAsia="楷体" w:cs="宋体"/>
                <w:sz w:val="24"/>
              </w:rPr>
              <w:t>人月</w:t>
            </w:r>
            <w:r>
              <w:rPr>
                <w:rFonts w:hint="eastAsia" w:ascii="楷体" w:hAnsi="楷体" w:eastAsia="楷体" w:cs="宋体"/>
                <w:sz w:val="24"/>
                <w:lang w:eastAsia="zh-CN"/>
              </w:rPr>
              <w:t>，</w:t>
            </w:r>
            <w:r>
              <w:rPr>
                <w:rFonts w:hint="eastAsia" w:ascii="楷体" w:hAnsi="楷体" w:eastAsia="楷体" w:cs="宋体"/>
                <w:sz w:val="24"/>
                <w:lang w:val="en-US" w:eastAsia="zh-CN"/>
              </w:rPr>
              <w:t>以实际投产验收核定为准，据实结算。其中已确认定制功能需求包括：资金监管功能、撮合平台、企业房票，具体功能说明详见下表。</w:t>
            </w:r>
          </w:p>
        </w:tc>
      </w:tr>
    </w:tbl>
    <w:p>
      <w:pPr>
        <w:numPr>
          <w:ilvl w:val="0"/>
          <w:numId w:val="0"/>
        </w:numPr>
        <w:adjustRightInd w:val="0"/>
        <w:snapToGrid w:val="0"/>
        <w:spacing w:line="560" w:lineRule="atLeast"/>
        <w:rPr>
          <w:rFonts w:hint="eastAsia" w:ascii="彩虹粗仿宋" w:hAnsi="宋体" w:eastAsia="彩虹粗仿宋" w:cs="Times New Roman"/>
          <w:b/>
          <w:snapToGrid w:val="0"/>
          <w:kern w:val="0"/>
          <w:sz w:val="32"/>
          <w:szCs w:val="32"/>
        </w:rPr>
      </w:pPr>
    </w:p>
    <w:tbl>
      <w:tblPr>
        <w:tblStyle w:val="8"/>
        <w:tblW w:w="8930" w:type="dxa"/>
        <w:tblInd w:w="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0"/>
        <w:gridCol w:w="1530"/>
        <w:gridCol w:w="67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8930" w:type="dxa"/>
            <w:gridSpan w:val="3"/>
            <w:tcBorders>
              <w:top w:val="nil"/>
              <w:left w:val="nil"/>
              <w:bottom w:val="nil"/>
              <w:right w:val="nil"/>
              <w:tl2br w:val="nil"/>
              <w:tr2bl w:val="nil"/>
            </w:tcBorders>
            <w:noWrap w:val="0"/>
            <w:vAlign w:val="center"/>
          </w:tcPr>
          <w:p>
            <w:pPr>
              <w:spacing w:beforeLines="0" w:afterLines="0"/>
              <w:jc w:val="center"/>
              <w:rPr>
                <w:rFonts w:hint="eastAsia" w:ascii="楷体" w:hAnsi="楷体" w:eastAsia="楷体" w:cs="宋体"/>
                <w:b/>
                <w:bCs/>
                <w:sz w:val="28"/>
                <w:szCs w:val="28"/>
                <w:lang w:eastAsia="zh-CN"/>
              </w:rPr>
            </w:pPr>
          </w:p>
          <w:p>
            <w:pPr>
              <w:spacing w:beforeLines="0" w:afterLines="0"/>
              <w:jc w:val="center"/>
              <w:rPr>
                <w:rFonts w:hint="eastAsia" w:ascii="褰╄櫣绮椾豢瀹�" w:hAnsi="褰╄櫣绮椾豢瀹�" w:eastAsia="褰╄櫣绮椾豢瀹�"/>
                <w:b/>
                <w:color w:val="000000"/>
                <w:sz w:val="48"/>
                <w:szCs w:val="24"/>
              </w:rPr>
            </w:pPr>
            <w:r>
              <w:rPr>
                <w:rFonts w:hint="eastAsia" w:ascii="楷体" w:hAnsi="楷体" w:eastAsia="楷体" w:cs="宋体"/>
                <w:b/>
                <w:bCs/>
                <w:sz w:val="28"/>
                <w:szCs w:val="28"/>
                <w:lang w:eastAsia="zh-CN"/>
              </w:rPr>
              <w:t>已确认定制功能需求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0" w:type="dxa"/>
            <w:tcBorders>
              <w:top w:val="single" w:color="auto" w:sz="6" w:space="0"/>
              <w:left w:val="single" w:color="auto" w:sz="6" w:space="0"/>
              <w:bottom w:val="single" w:color="auto" w:sz="6" w:space="0"/>
              <w:right w:val="single" w:color="auto" w:sz="6" w:space="0"/>
              <w:tl2br w:val="nil"/>
              <w:tr2bl w:val="nil"/>
            </w:tcBorders>
            <w:noWrap w:val="0"/>
            <w:vAlign w:val="center"/>
          </w:tcPr>
          <w:p>
            <w:pPr>
              <w:autoSpaceDE w:val="0"/>
              <w:autoSpaceDN w:val="0"/>
              <w:spacing w:line="360" w:lineRule="auto"/>
              <w:jc w:val="center"/>
              <w:rPr>
                <w:rFonts w:hint="eastAsia" w:ascii="楷体" w:hAnsi="楷体" w:eastAsia="楷体" w:cs="宋体"/>
                <w:b/>
                <w:bCs/>
                <w:sz w:val="21"/>
                <w:szCs w:val="21"/>
              </w:rPr>
            </w:pPr>
            <w:r>
              <w:rPr>
                <w:rFonts w:hint="eastAsia" w:ascii="楷体" w:hAnsi="楷体" w:eastAsia="楷体" w:cs="宋体"/>
                <w:b/>
                <w:bCs/>
                <w:sz w:val="21"/>
                <w:szCs w:val="21"/>
              </w:rPr>
              <w:t>序号</w:t>
            </w:r>
          </w:p>
        </w:tc>
        <w:tc>
          <w:tcPr>
            <w:tcW w:w="1530" w:type="dxa"/>
            <w:tcBorders>
              <w:top w:val="single" w:color="auto" w:sz="6" w:space="0"/>
              <w:left w:val="single" w:color="auto" w:sz="6" w:space="0"/>
              <w:bottom w:val="single" w:color="auto" w:sz="6" w:space="0"/>
              <w:right w:val="single" w:color="auto" w:sz="6" w:space="0"/>
              <w:tl2br w:val="nil"/>
              <w:tr2bl w:val="nil"/>
            </w:tcBorders>
            <w:noWrap w:val="0"/>
            <w:vAlign w:val="center"/>
          </w:tcPr>
          <w:p>
            <w:pPr>
              <w:autoSpaceDE w:val="0"/>
              <w:autoSpaceDN w:val="0"/>
              <w:spacing w:line="360" w:lineRule="auto"/>
              <w:jc w:val="center"/>
              <w:rPr>
                <w:rFonts w:hint="eastAsia" w:ascii="楷体" w:hAnsi="楷体" w:eastAsia="楷体" w:cs="宋体"/>
                <w:b/>
                <w:bCs/>
                <w:sz w:val="21"/>
                <w:szCs w:val="21"/>
              </w:rPr>
            </w:pPr>
            <w:r>
              <w:rPr>
                <w:rFonts w:hint="eastAsia" w:ascii="楷体" w:hAnsi="楷体" w:eastAsia="楷体" w:cs="宋体"/>
                <w:b/>
                <w:bCs/>
                <w:sz w:val="21"/>
                <w:szCs w:val="21"/>
              </w:rPr>
              <w:t>需求功能</w:t>
            </w:r>
          </w:p>
        </w:tc>
        <w:tc>
          <w:tcPr>
            <w:tcW w:w="6730" w:type="dxa"/>
            <w:tcBorders>
              <w:top w:val="single" w:color="auto" w:sz="6" w:space="0"/>
              <w:left w:val="single" w:color="auto" w:sz="6" w:space="0"/>
              <w:bottom w:val="single" w:color="auto" w:sz="6" w:space="0"/>
              <w:right w:val="single" w:color="auto" w:sz="6" w:space="0"/>
              <w:tl2br w:val="nil"/>
              <w:tr2bl w:val="nil"/>
            </w:tcBorders>
            <w:noWrap w:val="0"/>
            <w:vAlign w:val="center"/>
          </w:tcPr>
          <w:p>
            <w:pPr>
              <w:autoSpaceDE w:val="0"/>
              <w:autoSpaceDN w:val="0"/>
              <w:spacing w:line="360" w:lineRule="auto"/>
              <w:jc w:val="center"/>
              <w:rPr>
                <w:rFonts w:hint="eastAsia" w:ascii="楷体" w:hAnsi="楷体" w:eastAsia="楷体" w:cs="宋体"/>
                <w:b/>
                <w:bCs/>
                <w:sz w:val="21"/>
                <w:szCs w:val="21"/>
              </w:rPr>
            </w:pPr>
            <w:r>
              <w:rPr>
                <w:rFonts w:hint="eastAsia" w:ascii="楷体" w:hAnsi="楷体" w:eastAsia="楷体" w:cs="宋体"/>
                <w:b/>
                <w:bCs/>
                <w:sz w:val="21"/>
                <w:szCs w:val="21"/>
              </w:rPr>
              <w:t>功能说明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0" w:hRule="atLeast"/>
        </w:trPr>
        <w:tc>
          <w:tcPr>
            <w:tcW w:w="670" w:type="dxa"/>
            <w:tcBorders>
              <w:top w:val="single" w:color="auto" w:sz="6" w:space="0"/>
              <w:left w:val="single" w:color="auto" w:sz="6" w:space="0"/>
              <w:bottom w:val="single" w:color="auto" w:sz="6" w:space="0"/>
              <w:right w:val="single" w:color="auto" w:sz="6" w:space="0"/>
              <w:tl2br w:val="nil"/>
              <w:tr2bl w:val="nil"/>
            </w:tcBorders>
            <w:noWrap w:val="0"/>
            <w:vAlign w:val="center"/>
          </w:tcPr>
          <w:p>
            <w:pPr>
              <w:autoSpaceDE w:val="0"/>
              <w:autoSpaceDN w:val="0"/>
              <w:spacing w:line="360" w:lineRule="auto"/>
              <w:jc w:val="center"/>
              <w:rPr>
                <w:rFonts w:hint="eastAsia" w:ascii="楷体" w:hAnsi="楷体" w:eastAsia="楷体" w:cs="宋体"/>
                <w:sz w:val="21"/>
                <w:szCs w:val="21"/>
              </w:rPr>
            </w:pPr>
            <w:r>
              <w:rPr>
                <w:rFonts w:hint="eastAsia" w:ascii="楷体" w:hAnsi="楷体" w:eastAsia="楷体" w:cs="宋体"/>
                <w:sz w:val="21"/>
                <w:szCs w:val="21"/>
              </w:rPr>
              <w:t>1</w:t>
            </w:r>
          </w:p>
        </w:tc>
        <w:tc>
          <w:tcPr>
            <w:tcW w:w="1530" w:type="dxa"/>
            <w:tcBorders>
              <w:top w:val="single" w:color="auto" w:sz="6" w:space="0"/>
              <w:left w:val="single" w:color="auto" w:sz="6" w:space="0"/>
              <w:bottom w:val="single" w:color="auto" w:sz="6" w:space="0"/>
              <w:right w:val="single" w:color="auto" w:sz="6" w:space="0"/>
              <w:tl2br w:val="nil"/>
              <w:tr2bl w:val="nil"/>
            </w:tcBorders>
            <w:noWrap w:val="0"/>
            <w:vAlign w:val="center"/>
          </w:tcPr>
          <w:p>
            <w:pPr>
              <w:autoSpaceDE w:val="0"/>
              <w:autoSpaceDN w:val="0"/>
              <w:spacing w:line="360" w:lineRule="auto"/>
              <w:jc w:val="center"/>
              <w:rPr>
                <w:rFonts w:hint="eastAsia" w:ascii="楷体" w:hAnsi="楷体" w:eastAsia="楷体" w:cs="宋体"/>
                <w:sz w:val="21"/>
                <w:szCs w:val="21"/>
              </w:rPr>
            </w:pPr>
            <w:r>
              <w:rPr>
                <w:rFonts w:hint="eastAsia" w:ascii="楷体" w:hAnsi="楷体" w:eastAsia="楷体" w:cs="宋体"/>
                <w:sz w:val="21"/>
                <w:szCs w:val="21"/>
              </w:rPr>
              <w:t>资金监管功能</w:t>
            </w:r>
          </w:p>
        </w:tc>
        <w:tc>
          <w:tcPr>
            <w:tcW w:w="6730" w:type="dxa"/>
            <w:tcBorders>
              <w:top w:val="single" w:color="auto" w:sz="6" w:space="0"/>
              <w:left w:val="single" w:color="auto" w:sz="6" w:space="0"/>
              <w:bottom w:val="single" w:color="auto" w:sz="6" w:space="0"/>
              <w:right w:val="single" w:color="auto" w:sz="6" w:space="0"/>
              <w:tl2br w:val="nil"/>
              <w:tr2bl w:val="nil"/>
            </w:tcBorders>
            <w:noWrap w:val="0"/>
            <w:vAlign w:val="center"/>
          </w:tcPr>
          <w:p>
            <w:pPr>
              <w:autoSpaceDE w:val="0"/>
              <w:autoSpaceDN w:val="0"/>
              <w:spacing w:line="360" w:lineRule="auto"/>
              <w:jc w:val="both"/>
              <w:rPr>
                <w:rFonts w:hint="eastAsia" w:ascii="楷体" w:hAnsi="楷体" w:eastAsia="楷体" w:cs="宋体"/>
                <w:sz w:val="21"/>
                <w:szCs w:val="21"/>
              </w:rPr>
            </w:pPr>
            <w:r>
              <w:rPr>
                <w:rFonts w:hint="eastAsia" w:ascii="楷体" w:hAnsi="楷体" w:eastAsia="楷体" w:cs="宋体"/>
                <w:sz w:val="21"/>
                <w:szCs w:val="21"/>
              </w:rPr>
              <w:t>在房票转让模块下增加转让资金监管功能。支持上传相关合同文件及证明材料；支持电子签名；支持PC端审核；支持查询、筛选数据（如按转让方、受让方、审核环节、业务状态等筛选查询）；支持查看具体业务详情（如交易双方、交易房票面值、金额、电子合约等）；支持发起资金退款并可按列表查询、筛选（如按关联转让业务ID、房票类型、转让方、受让方、业务状态等筛选查询）及查看具体业务详情（如退款方、退款金额、交易流水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670" w:type="dxa"/>
            <w:tcBorders>
              <w:top w:val="single" w:color="auto" w:sz="6" w:space="0"/>
              <w:left w:val="single" w:color="auto" w:sz="6" w:space="0"/>
              <w:bottom w:val="single" w:color="auto" w:sz="6" w:space="0"/>
              <w:right w:val="single" w:color="auto" w:sz="6" w:space="0"/>
              <w:tl2br w:val="nil"/>
              <w:tr2bl w:val="nil"/>
            </w:tcBorders>
            <w:noWrap w:val="0"/>
            <w:vAlign w:val="center"/>
          </w:tcPr>
          <w:p>
            <w:pPr>
              <w:autoSpaceDE w:val="0"/>
              <w:autoSpaceDN w:val="0"/>
              <w:spacing w:line="360" w:lineRule="auto"/>
              <w:jc w:val="center"/>
              <w:rPr>
                <w:rFonts w:hint="eastAsia" w:ascii="楷体" w:hAnsi="楷体" w:eastAsia="楷体" w:cs="宋体"/>
                <w:sz w:val="21"/>
                <w:szCs w:val="21"/>
              </w:rPr>
            </w:pPr>
            <w:r>
              <w:rPr>
                <w:rFonts w:hint="eastAsia" w:ascii="楷体" w:hAnsi="楷体" w:eastAsia="楷体" w:cs="宋体"/>
                <w:sz w:val="21"/>
                <w:szCs w:val="21"/>
              </w:rPr>
              <w:t>2</w:t>
            </w:r>
          </w:p>
        </w:tc>
        <w:tc>
          <w:tcPr>
            <w:tcW w:w="1530" w:type="dxa"/>
            <w:tcBorders>
              <w:top w:val="single" w:color="auto" w:sz="6" w:space="0"/>
              <w:left w:val="single" w:color="auto" w:sz="6" w:space="0"/>
              <w:bottom w:val="single" w:color="auto" w:sz="6" w:space="0"/>
              <w:right w:val="single" w:color="auto" w:sz="6" w:space="0"/>
              <w:tl2br w:val="nil"/>
              <w:tr2bl w:val="nil"/>
            </w:tcBorders>
            <w:noWrap w:val="0"/>
            <w:vAlign w:val="center"/>
          </w:tcPr>
          <w:p>
            <w:pPr>
              <w:autoSpaceDE w:val="0"/>
              <w:autoSpaceDN w:val="0"/>
              <w:spacing w:line="360" w:lineRule="auto"/>
              <w:jc w:val="center"/>
              <w:rPr>
                <w:rFonts w:hint="eastAsia" w:ascii="楷体" w:hAnsi="楷体" w:eastAsia="楷体" w:cs="宋体"/>
                <w:sz w:val="21"/>
                <w:szCs w:val="21"/>
              </w:rPr>
            </w:pPr>
            <w:r>
              <w:rPr>
                <w:rFonts w:hint="eastAsia" w:ascii="楷体" w:hAnsi="楷体" w:eastAsia="楷体" w:cs="宋体"/>
                <w:sz w:val="21"/>
                <w:szCs w:val="21"/>
              </w:rPr>
              <w:t>撮合平台</w:t>
            </w:r>
          </w:p>
        </w:tc>
        <w:tc>
          <w:tcPr>
            <w:tcW w:w="6730" w:type="dxa"/>
            <w:tcBorders>
              <w:top w:val="single" w:color="auto" w:sz="6" w:space="0"/>
              <w:left w:val="single" w:color="auto" w:sz="6" w:space="0"/>
              <w:bottom w:val="single" w:color="auto" w:sz="6" w:space="0"/>
              <w:right w:val="single" w:color="auto" w:sz="6" w:space="0"/>
              <w:tl2br w:val="nil"/>
              <w:tr2bl w:val="nil"/>
            </w:tcBorders>
            <w:noWrap w:val="0"/>
            <w:vAlign w:val="center"/>
          </w:tcPr>
          <w:p>
            <w:pPr>
              <w:autoSpaceDE w:val="0"/>
              <w:autoSpaceDN w:val="0"/>
              <w:spacing w:line="360" w:lineRule="auto"/>
              <w:jc w:val="both"/>
              <w:rPr>
                <w:rFonts w:hint="eastAsia" w:ascii="楷体" w:hAnsi="楷体" w:eastAsia="楷体" w:cs="宋体"/>
                <w:sz w:val="21"/>
                <w:szCs w:val="21"/>
              </w:rPr>
            </w:pPr>
            <w:r>
              <w:rPr>
                <w:rFonts w:hint="eastAsia" w:ascii="楷体" w:hAnsi="楷体" w:eastAsia="楷体" w:cs="宋体"/>
                <w:sz w:val="21"/>
                <w:szCs w:val="21"/>
              </w:rPr>
              <w:t>提供房票交易信息发布及买卖方交流。支持转让信息和求购信息分列表显示，并可按区域、类型、适用范围等信息筛选搜索；支持查看转让及求购的信息详情，可显示的联系人、房票面值、转让金额、房票类型等信息；支持房票买卖双方留意交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0" w:hRule="atLeast"/>
        </w:trPr>
        <w:tc>
          <w:tcPr>
            <w:tcW w:w="670" w:type="dxa"/>
            <w:tcBorders>
              <w:top w:val="single" w:color="auto" w:sz="6" w:space="0"/>
              <w:left w:val="single" w:color="auto" w:sz="6" w:space="0"/>
              <w:bottom w:val="single" w:color="auto" w:sz="6" w:space="0"/>
              <w:right w:val="single" w:color="auto" w:sz="6" w:space="0"/>
              <w:tl2br w:val="nil"/>
              <w:tr2bl w:val="nil"/>
            </w:tcBorders>
            <w:noWrap w:val="0"/>
            <w:vAlign w:val="center"/>
          </w:tcPr>
          <w:p>
            <w:pPr>
              <w:autoSpaceDE w:val="0"/>
              <w:autoSpaceDN w:val="0"/>
              <w:spacing w:line="360" w:lineRule="auto"/>
              <w:jc w:val="center"/>
              <w:rPr>
                <w:rFonts w:hint="eastAsia" w:ascii="楷体" w:hAnsi="楷体" w:eastAsia="楷体" w:cs="宋体"/>
                <w:sz w:val="21"/>
                <w:szCs w:val="21"/>
              </w:rPr>
            </w:pPr>
            <w:r>
              <w:rPr>
                <w:rFonts w:hint="eastAsia" w:ascii="楷体" w:hAnsi="楷体" w:eastAsia="楷体" w:cs="宋体"/>
                <w:sz w:val="21"/>
                <w:szCs w:val="21"/>
              </w:rPr>
              <w:t>3</w:t>
            </w:r>
          </w:p>
        </w:tc>
        <w:tc>
          <w:tcPr>
            <w:tcW w:w="1530" w:type="dxa"/>
            <w:tcBorders>
              <w:top w:val="single" w:color="auto" w:sz="6" w:space="0"/>
              <w:left w:val="single" w:color="auto" w:sz="6" w:space="0"/>
              <w:bottom w:val="single" w:color="auto" w:sz="6" w:space="0"/>
              <w:right w:val="single" w:color="auto" w:sz="6" w:space="0"/>
              <w:tl2br w:val="nil"/>
              <w:tr2bl w:val="nil"/>
            </w:tcBorders>
            <w:noWrap w:val="0"/>
            <w:vAlign w:val="center"/>
          </w:tcPr>
          <w:p>
            <w:pPr>
              <w:autoSpaceDE w:val="0"/>
              <w:autoSpaceDN w:val="0"/>
              <w:spacing w:line="360" w:lineRule="auto"/>
              <w:jc w:val="center"/>
              <w:rPr>
                <w:rFonts w:hint="eastAsia" w:ascii="楷体" w:hAnsi="楷体" w:eastAsia="楷体" w:cs="宋体"/>
                <w:sz w:val="21"/>
                <w:szCs w:val="21"/>
              </w:rPr>
            </w:pPr>
            <w:r>
              <w:rPr>
                <w:rFonts w:hint="eastAsia" w:ascii="楷体" w:hAnsi="楷体" w:eastAsia="楷体" w:cs="宋体"/>
                <w:sz w:val="21"/>
                <w:szCs w:val="21"/>
              </w:rPr>
              <w:t>企业房票</w:t>
            </w:r>
          </w:p>
        </w:tc>
        <w:tc>
          <w:tcPr>
            <w:tcW w:w="6730" w:type="dxa"/>
            <w:tcBorders>
              <w:top w:val="single" w:color="auto" w:sz="6" w:space="0"/>
              <w:left w:val="single" w:color="auto" w:sz="6" w:space="0"/>
              <w:bottom w:val="single" w:color="auto" w:sz="6" w:space="0"/>
              <w:right w:val="single" w:color="auto" w:sz="6" w:space="0"/>
              <w:tl2br w:val="nil"/>
              <w:tr2bl w:val="nil"/>
            </w:tcBorders>
            <w:noWrap w:val="0"/>
            <w:vAlign w:val="center"/>
          </w:tcPr>
          <w:p>
            <w:pPr>
              <w:autoSpaceDE w:val="0"/>
              <w:autoSpaceDN w:val="0"/>
              <w:spacing w:line="360" w:lineRule="auto"/>
              <w:jc w:val="both"/>
              <w:rPr>
                <w:rFonts w:hint="eastAsia" w:ascii="楷体" w:hAnsi="楷体" w:eastAsia="楷体" w:cs="宋体"/>
                <w:sz w:val="21"/>
                <w:szCs w:val="21"/>
              </w:rPr>
            </w:pPr>
            <w:r>
              <w:rPr>
                <w:rFonts w:hint="eastAsia" w:ascii="楷体" w:hAnsi="楷体" w:eastAsia="楷体" w:cs="宋体"/>
                <w:sz w:val="21"/>
                <w:szCs w:val="21"/>
              </w:rPr>
              <w:t>支持企业房票开具，可填写企业相关信息并提交审批，可查看业务详情（如企业信息、开具票面金额等）；支持企业房票购房，并可查看业务详情（如买方信息、卖方信息、房源类型、交易金额等）；支持企业房票转让，并可查看业务详情（如转让方信息、受让方信息、关联购房信息等）；支持企业房票申领奖励，并可查看业务详情（如申领方信息、计算奖励、交易金额等）；支持企业房票申请兑付，可查看业务详情（如兑付方信息、兑付房票信息、兑付金额等）。</w:t>
            </w:r>
          </w:p>
        </w:tc>
      </w:tr>
    </w:tbl>
    <w:p>
      <w:pPr>
        <w:numPr>
          <w:ilvl w:val="0"/>
          <w:numId w:val="0"/>
        </w:numPr>
        <w:adjustRightInd w:val="0"/>
        <w:snapToGrid w:val="0"/>
        <w:spacing w:line="560" w:lineRule="atLeast"/>
        <w:rPr>
          <w:rFonts w:hint="eastAsia" w:ascii="彩虹粗仿宋" w:hAnsi="宋体" w:eastAsia="彩虹粗仿宋" w:cs="Times New Roman"/>
          <w:b/>
          <w:snapToGrid w:val="0"/>
          <w:kern w:val="0"/>
          <w:sz w:val="32"/>
          <w:szCs w:val="32"/>
        </w:rPr>
      </w:pPr>
    </w:p>
    <w:p>
      <w:pPr>
        <w:numPr>
          <w:ilvl w:val="0"/>
          <w:numId w:val="2"/>
        </w:numPr>
        <w:adjustRightInd w:val="0"/>
        <w:snapToGrid w:val="0"/>
        <w:spacing w:line="560" w:lineRule="atLeast"/>
        <w:ind w:firstLine="643" w:firstLineChars="200"/>
        <w:rPr>
          <w:rFonts w:hint="eastAsia" w:ascii="彩虹粗仿宋" w:hAnsi="宋体" w:eastAsia="彩虹粗仿宋" w:cs="Times New Roman"/>
          <w:b/>
          <w:snapToGrid w:val="0"/>
          <w:kern w:val="0"/>
          <w:sz w:val="32"/>
          <w:szCs w:val="32"/>
        </w:rPr>
      </w:pPr>
      <w:r>
        <w:rPr>
          <w:rFonts w:hint="eastAsia" w:ascii="彩虹粗仿宋" w:hAnsi="宋体" w:eastAsia="彩虹粗仿宋" w:cs="Times New Roman"/>
          <w:b/>
          <w:snapToGrid w:val="0"/>
          <w:kern w:val="0"/>
          <w:sz w:val="32"/>
          <w:szCs w:val="32"/>
        </w:rPr>
        <w:t>生产</w:t>
      </w:r>
      <w:r>
        <w:rPr>
          <w:rFonts w:hint="eastAsia" w:ascii="彩虹粗仿宋" w:hAnsi="宋体" w:eastAsia="彩虹粗仿宋" w:cs="Times New Roman"/>
          <w:b/>
          <w:snapToGrid w:val="0"/>
          <w:kern w:val="0"/>
          <w:sz w:val="32"/>
          <w:szCs w:val="32"/>
          <w:lang w:eastAsia="zh-CN"/>
        </w:rPr>
        <w:t>及技术</w:t>
      </w:r>
      <w:r>
        <w:rPr>
          <w:rFonts w:hint="eastAsia" w:ascii="彩虹粗仿宋" w:hAnsi="宋体" w:eastAsia="彩虹粗仿宋" w:cs="Times New Roman"/>
          <w:b/>
          <w:snapToGrid w:val="0"/>
          <w:kern w:val="0"/>
          <w:sz w:val="32"/>
          <w:szCs w:val="32"/>
        </w:rPr>
        <w:t>要求</w:t>
      </w:r>
    </w:p>
    <w:p>
      <w:pPr>
        <w:pStyle w:val="14"/>
        <w:numPr>
          <w:ilvl w:val="-1"/>
          <w:numId w:val="0"/>
        </w:numPr>
        <w:ind w:firstLine="640"/>
        <w:rPr>
          <w:rFonts w:hint="eastAsia" w:ascii="彩虹粗仿宋" w:hAnsi="宋体" w:cs="Times New Roman"/>
          <w:snapToGrid w:val="0"/>
          <w:kern w:val="0"/>
          <w:sz w:val="32"/>
          <w:szCs w:val="32"/>
          <w:lang w:eastAsia="zh-CN"/>
        </w:rPr>
      </w:pPr>
      <w:r>
        <w:rPr>
          <w:rFonts w:hint="eastAsia" w:ascii="彩虹粗仿宋" w:hAnsi="宋体" w:cs="Times New Roman"/>
          <w:snapToGrid w:val="0"/>
          <w:kern w:val="0"/>
          <w:sz w:val="32"/>
          <w:szCs w:val="32"/>
          <w:lang w:val="en-US" w:eastAsia="zh-CN" w:bidi="ar-SA"/>
        </w:rPr>
        <w:t>1</w:t>
      </w:r>
      <w:r>
        <w:rPr>
          <w:rFonts w:hint="eastAsia" w:ascii="彩虹粗仿宋" w:hAnsi="宋体" w:eastAsia="彩虹粗仿宋" w:cs="Times New Roman"/>
          <w:snapToGrid w:val="0"/>
          <w:kern w:val="0"/>
          <w:sz w:val="32"/>
          <w:szCs w:val="32"/>
          <w:lang w:val="en-US" w:eastAsia="zh-CN" w:bidi="ar-SA"/>
        </w:rPr>
        <w:t>.</w:t>
      </w:r>
      <w:r>
        <w:rPr>
          <w:rFonts w:hint="eastAsia" w:ascii="彩虹粗仿宋" w:hAnsi="宋体" w:cs="Times New Roman"/>
          <w:snapToGrid w:val="0"/>
          <w:kern w:val="0"/>
          <w:sz w:val="32"/>
          <w:szCs w:val="32"/>
        </w:rPr>
        <w:t>提供所有</w:t>
      </w:r>
      <w:r>
        <w:rPr>
          <w:rFonts w:hint="eastAsia" w:ascii="彩虹粗仿宋" w:hAnsi="宋体" w:cs="Times New Roman"/>
          <w:snapToGrid w:val="0"/>
          <w:kern w:val="0"/>
          <w:sz w:val="32"/>
          <w:szCs w:val="32"/>
          <w:lang w:eastAsia="zh-CN"/>
        </w:rPr>
        <w:t>相关的</w:t>
      </w:r>
      <w:r>
        <w:rPr>
          <w:rFonts w:hint="eastAsia" w:ascii="彩虹粗仿宋" w:hAnsi="宋体" w:cs="Times New Roman"/>
          <w:snapToGrid w:val="0"/>
          <w:kern w:val="0"/>
          <w:sz w:val="32"/>
          <w:szCs w:val="32"/>
        </w:rPr>
        <w:t>源代码</w:t>
      </w:r>
      <w:r>
        <w:rPr>
          <w:rFonts w:hint="eastAsia" w:ascii="彩虹粗仿宋" w:hAnsi="宋体" w:cs="Times New Roman"/>
          <w:snapToGrid w:val="0"/>
          <w:kern w:val="0"/>
          <w:sz w:val="32"/>
          <w:szCs w:val="32"/>
          <w:lang w:eastAsia="zh-CN"/>
        </w:rPr>
        <w:t>。</w:t>
      </w:r>
    </w:p>
    <w:p>
      <w:pPr>
        <w:pStyle w:val="14"/>
        <w:numPr>
          <w:ilvl w:val="-1"/>
          <w:numId w:val="0"/>
        </w:numPr>
        <w:adjustRightInd w:val="0"/>
        <w:snapToGrid w:val="0"/>
        <w:spacing w:line="560" w:lineRule="atLeast"/>
        <w:ind w:firstLine="640" w:firstLineChars="200"/>
        <w:rPr>
          <w:rFonts w:hint="eastAsia" w:ascii="彩虹粗仿宋" w:hAnsi="宋体" w:eastAsia="彩虹粗仿宋" w:cs="Times New Roman"/>
          <w:b w:val="0"/>
          <w:snapToGrid w:val="0"/>
          <w:kern w:val="0"/>
          <w:sz w:val="32"/>
          <w:szCs w:val="32"/>
          <w:lang w:val="en-US" w:eastAsia="zh-CN"/>
        </w:rPr>
      </w:pPr>
      <w:r>
        <w:rPr>
          <w:rFonts w:hint="eastAsia" w:ascii="彩虹粗仿宋" w:hAnsi="宋体" w:cs="Times New Roman"/>
          <w:snapToGrid w:val="0"/>
          <w:kern w:val="0"/>
          <w:sz w:val="32"/>
          <w:szCs w:val="32"/>
          <w:lang w:val="en-US" w:eastAsia="zh-CN" w:bidi="ar-SA"/>
        </w:rPr>
        <w:t>2</w:t>
      </w:r>
      <w:r>
        <w:rPr>
          <w:rFonts w:hint="eastAsia" w:ascii="彩虹粗仿宋" w:hAnsi="宋体" w:eastAsia="彩虹粗仿宋" w:cs="Times New Roman"/>
          <w:snapToGrid w:val="0"/>
          <w:kern w:val="0"/>
          <w:sz w:val="32"/>
          <w:szCs w:val="32"/>
          <w:lang w:val="en-US" w:eastAsia="zh-CN" w:bidi="ar-SA"/>
        </w:rPr>
        <w:t>.</w:t>
      </w:r>
      <w:r>
        <w:rPr>
          <w:rFonts w:hint="eastAsia" w:ascii="彩虹粗仿宋" w:hAnsi="宋体" w:cs="Times New Roman"/>
          <w:snapToGrid w:val="0"/>
          <w:kern w:val="0"/>
          <w:sz w:val="32"/>
          <w:szCs w:val="32"/>
        </w:rPr>
        <w:t>提供完整可行的应用级应急处理方案，包含系统上线切换应急以及上线后日常应急处理。</w:t>
      </w:r>
    </w:p>
    <w:p>
      <w:pPr>
        <w:pStyle w:val="14"/>
        <w:numPr>
          <w:ilvl w:val="-1"/>
          <w:numId w:val="0"/>
        </w:numPr>
        <w:adjustRightInd w:val="0"/>
        <w:snapToGrid w:val="0"/>
        <w:spacing w:line="560" w:lineRule="atLeast"/>
        <w:ind w:firstLine="640" w:firstLineChars="200"/>
        <w:rPr>
          <w:rFonts w:ascii="彩虹粗仿宋" w:hAnsi="宋体" w:eastAsia="彩虹粗仿宋" w:cs="Times New Roman"/>
          <w:b/>
          <w:snapToGrid w:val="0"/>
          <w:kern w:val="0"/>
          <w:sz w:val="32"/>
          <w:szCs w:val="32"/>
        </w:rPr>
      </w:pPr>
      <w:r>
        <w:rPr>
          <w:rFonts w:hint="eastAsia" w:ascii="彩虹粗仿宋" w:hAnsi="宋体" w:cs="Times New Roman"/>
          <w:snapToGrid w:val="0"/>
          <w:kern w:val="0"/>
          <w:sz w:val="32"/>
          <w:szCs w:val="32"/>
          <w:lang w:val="en-US" w:eastAsia="zh-CN" w:bidi="ar-SA"/>
        </w:rPr>
        <w:t>3</w:t>
      </w:r>
      <w:r>
        <w:rPr>
          <w:rFonts w:hint="eastAsia" w:ascii="彩虹粗仿宋" w:hAnsi="宋体" w:eastAsia="彩虹粗仿宋" w:cs="Times New Roman"/>
          <w:snapToGrid w:val="0"/>
          <w:kern w:val="0"/>
          <w:sz w:val="32"/>
          <w:szCs w:val="32"/>
          <w:lang w:val="en-US" w:eastAsia="zh-CN" w:bidi="ar-SA"/>
        </w:rPr>
        <w:t>.</w:t>
      </w:r>
      <w:r>
        <w:rPr>
          <w:rFonts w:hint="eastAsia" w:ascii="彩虹粗仿宋" w:hAnsi="宋体" w:cs="Times New Roman"/>
          <w:snapToGrid w:val="0"/>
          <w:kern w:val="0"/>
          <w:sz w:val="32"/>
          <w:szCs w:val="32"/>
        </w:rPr>
        <w:t>项目</w:t>
      </w:r>
      <w:r>
        <w:rPr>
          <w:rFonts w:hint="eastAsia" w:ascii="彩虹粗仿宋" w:hAnsi="宋体" w:cs="Times New Roman"/>
          <w:snapToGrid w:val="0"/>
          <w:kern w:val="0"/>
          <w:sz w:val="32"/>
          <w:szCs w:val="32"/>
          <w:lang w:eastAsia="zh-CN"/>
        </w:rPr>
        <w:t>进度</w:t>
      </w:r>
      <w:r>
        <w:rPr>
          <w:rFonts w:hint="eastAsia" w:ascii="彩虹粗仿宋" w:hAnsi="宋体" w:cs="Times New Roman"/>
          <w:snapToGrid w:val="0"/>
          <w:kern w:val="0"/>
          <w:sz w:val="32"/>
          <w:szCs w:val="32"/>
        </w:rPr>
        <w:t>要求</w:t>
      </w:r>
      <w:r>
        <w:rPr>
          <w:rFonts w:hint="eastAsia" w:ascii="彩虹粗仿宋" w:hAnsi="宋体" w:cs="Times New Roman"/>
          <w:snapToGrid w:val="0"/>
          <w:kern w:val="0"/>
          <w:sz w:val="32"/>
          <w:szCs w:val="32"/>
          <w:lang w:eastAsia="zh-CN"/>
        </w:rPr>
        <w:t>：接口开发优化需在合同签订后一个月内</w:t>
      </w:r>
      <w:r>
        <w:rPr>
          <w:rFonts w:hint="eastAsia" w:ascii="彩虹粗仿宋" w:hAnsi="宋体" w:cs="Times New Roman"/>
          <w:snapToGrid w:val="0"/>
          <w:kern w:val="0"/>
          <w:sz w:val="32"/>
          <w:szCs w:val="32"/>
        </w:rPr>
        <w:t>完成。</w:t>
      </w:r>
      <w:r>
        <w:rPr>
          <w:rFonts w:hint="eastAsia" w:ascii="彩虹粗仿宋" w:hAnsi="宋体" w:eastAsia="彩虹粗仿宋" w:cs="Times New Roman"/>
          <w:snapToGrid w:val="0"/>
          <w:kern w:val="0"/>
          <w:sz w:val="32"/>
          <w:szCs w:val="32"/>
          <w:highlight w:val="none"/>
          <w:lang w:val="en-US" w:eastAsia="zh-CN"/>
        </w:rPr>
        <w:t>功能定制开发</w:t>
      </w:r>
      <w:r>
        <w:rPr>
          <w:rFonts w:hint="eastAsia" w:ascii="彩虹粗仿宋" w:hAnsi="宋体" w:cs="Times New Roman"/>
          <w:snapToGrid w:val="0"/>
          <w:kern w:val="0"/>
          <w:sz w:val="32"/>
          <w:szCs w:val="32"/>
        </w:rPr>
        <w:t>根据</w:t>
      </w:r>
      <w:r>
        <w:rPr>
          <w:rFonts w:hint="eastAsia" w:ascii="彩虹粗仿宋" w:hAnsi="宋体" w:cs="Times New Roman"/>
          <w:snapToGrid w:val="0"/>
          <w:kern w:val="0"/>
          <w:sz w:val="32"/>
          <w:szCs w:val="32"/>
          <w:lang w:eastAsia="zh-CN"/>
        </w:rPr>
        <w:t>政府需求及</w:t>
      </w:r>
      <w:r>
        <w:rPr>
          <w:rFonts w:hint="eastAsia" w:ascii="彩虹粗仿宋" w:hAnsi="宋体" w:cs="Times New Roman"/>
          <w:snapToGrid w:val="0"/>
          <w:kern w:val="0"/>
          <w:sz w:val="32"/>
          <w:szCs w:val="32"/>
        </w:rPr>
        <w:t>要求时间安排上线实施</w:t>
      </w:r>
      <w:r>
        <w:rPr>
          <w:rFonts w:hint="eastAsia" w:ascii="彩虹粗仿宋" w:hAnsi="宋体" w:cs="Times New Roman"/>
          <w:snapToGrid w:val="0"/>
          <w:kern w:val="0"/>
          <w:sz w:val="32"/>
          <w:szCs w:val="32"/>
          <w:lang w:eastAsia="zh-CN"/>
        </w:rPr>
        <w:t>。</w:t>
      </w:r>
    </w:p>
    <w:p>
      <w:pPr>
        <w:pStyle w:val="14"/>
        <w:numPr>
          <w:ilvl w:val="-1"/>
          <w:numId w:val="0"/>
        </w:numPr>
        <w:adjustRightInd w:val="0"/>
        <w:snapToGrid w:val="0"/>
        <w:spacing w:line="560" w:lineRule="atLeast"/>
        <w:ind w:firstLine="643" w:firstLineChars="200"/>
        <w:rPr>
          <w:rFonts w:ascii="彩虹粗仿宋" w:hAnsi="宋体" w:eastAsia="彩虹粗仿宋" w:cs="Times New Roman"/>
          <w:b/>
          <w:snapToGrid w:val="0"/>
          <w:kern w:val="0"/>
          <w:sz w:val="32"/>
          <w:szCs w:val="32"/>
        </w:rPr>
      </w:pPr>
      <w:r>
        <w:rPr>
          <w:rFonts w:hint="eastAsia" w:ascii="彩虹粗仿宋" w:hAnsi="宋体" w:cs="Times New Roman"/>
          <w:b/>
          <w:snapToGrid w:val="0"/>
          <w:kern w:val="0"/>
          <w:sz w:val="32"/>
          <w:szCs w:val="32"/>
          <w:lang w:eastAsia="zh-CN"/>
        </w:rPr>
        <w:t>（四）</w:t>
      </w:r>
      <w:r>
        <w:rPr>
          <w:rFonts w:hint="eastAsia" w:ascii="彩虹粗仿宋" w:hAnsi="宋体" w:eastAsia="彩虹粗仿宋" w:cs="Times New Roman"/>
          <w:b/>
          <w:snapToGrid w:val="0"/>
          <w:kern w:val="0"/>
          <w:sz w:val="32"/>
          <w:szCs w:val="32"/>
          <w:lang w:eastAsia="zh-CN"/>
        </w:rPr>
        <w:t>人员及</w:t>
      </w:r>
      <w:r>
        <w:rPr>
          <w:rFonts w:hint="eastAsia" w:ascii="彩虹粗仿宋" w:hAnsi="宋体" w:eastAsia="彩虹粗仿宋" w:cs="Times New Roman"/>
          <w:b/>
          <w:snapToGrid w:val="0"/>
          <w:kern w:val="0"/>
          <w:sz w:val="32"/>
          <w:szCs w:val="32"/>
        </w:rPr>
        <w:t>售后要求</w:t>
      </w:r>
    </w:p>
    <w:p>
      <w:pPr>
        <w:adjustRightInd w:val="0"/>
        <w:snapToGrid w:val="0"/>
        <w:spacing w:line="560" w:lineRule="atLeast"/>
        <w:ind w:firstLine="640" w:firstLineChars="200"/>
        <w:rPr>
          <w:rFonts w:ascii="彩虹粗仿宋" w:hAnsi="宋体" w:eastAsia="彩虹粗仿宋" w:cs="Times New Roman"/>
          <w:snapToGrid w:val="0"/>
          <w:kern w:val="0"/>
          <w:sz w:val="32"/>
          <w:szCs w:val="32"/>
        </w:rPr>
      </w:pPr>
      <w:bookmarkStart w:id="0" w:name="_Hlk117599742"/>
      <w:r>
        <w:rPr>
          <w:rFonts w:hint="eastAsia" w:ascii="彩虹粗仿宋" w:hAnsi="宋体" w:eastAsia="彩虹粗仿宋" w:cs="Times New Roman"/>
          <w:snapToGrid w:val="0"/>
          <w:kern w:val="0"/>
          <w:sz w:val="32"/>
          <w:szCs w:val="32"/>
        </w:rPr>
        <w:t>1.提供售后</w:t>
      </w:r>
      <w:r>
        <w:rPr>
          <w:rFonts w:hint="eastAsia" w:ascii="彩虹粗仿宋" w:hAnsi="宋体" w:eastAsia="彩虹粗仿宋" w:cs="Times New Roman"/>
          <w:snapToGrid w:val="0"/>
          <w:kern w:val="0"/>
          <w:sz w:val="32"/>
          <w:szCs w:val="32"/>
          <w:highlight w:val="none"/>
        </w:rPr>
        <w:t>服务质量保障方案，建立完善的售后服务管理体系及拥有专业的</w:t>
      </w:r>
      <w:r>
        <w:rPr>
          <w:rFonts w:hint="eastAsia" w:ascii="彩虹粗仿宋" w:hAnsi="宋体" w:eastAsia="彩虹粗仿宋" w:cs="Times New Roman"/>
          <w:snapToGrid w:val="0"/>
          <w:kern w:val="0"/>
          <w:sz w:val="32"/>
          <w:szCs w:val="32"/>
          <w:highlight w:val="none"/>
          <w:lang w:eastAsia="zh-CN"/>
        </w:rPr>
        <w:t>开发、</w:t>
      </w:r>
      <w:r>
        <w:rPr>
          <w:rFonts w:hint="eastAsia" w:ascii="彩虹粗仿宋" w:hAnsi="宋体" w:eastAsia="彩虹粗仿宋" w:cs="Times New Roman"/>
          <w:snapToGrid w:val="0"/>
          <w:kern w:val="0"/>
          <w:sz w:val="32"/>
          <w:szCs w:val="32"/>
          <w:highlight w:val="none"/>
        </w:rPr>
        <w:t>维护队伍</w:t>
      </w:r>
      <w:r>
        <w:rPr>
          <w:rFonts w:hint="eastAsia" w:ascii="彩虹粗仿宋" w:hAnsi="宋体" w:eastAsia="彩虹粗仿宋" w:cs="Times New Roman"/>
          <w:snapToGrid w:val="0"/>
          <w:kern w:val="0"/>
          <w:sz w:val="32"/>
          <w:szCs w:val="32"/>
          <w:highlight w:val="none"/>
          <w:lang w:eastAsia="zh-CN"/>
        </w:rPr>
        <w:t>（</w:t>
      </w:r>
      <w:r>
        <w:rPr>
          <w:rFonts w:hint="eastAsia" w:ascii="彩虹粗仿宋" w:hAnsi="Times New Roman" w:eastAsia="彩虹粗仿宋" w:cs="Times New Roman"/>
          <w:kern w:val="2"/>
          <w:sz w:val="30"/>
          <w:szCs w:val="30"/>
          <w:highlight w:val="none"/>
          <w:lang w:eastAsia="zh-CN"/>
        </w:rPr>
        <w:t>本项目</w:t>
      </w:r>
      <w:r>
        <w:rPr>
          <w:rFonts w:hint="eastAsia" w:ascii="彩虹粗仿宋" w:hAnsi="Times New Roman" w:eastAsia="彩虹粗仿宋" w:cs="Times New Roman"/>
          <w:kern w:val="2"/>
          <w:sz w:val="30"/>
          <w:szCs w:val="30"/>
          <w:highlight w:val="none"/>
        </w:rPr>
        <w:t>服务团队</w:t>
      </w:r>
      <w:r>
        <w:rPr>
          <w:rFonts w:hint="eastAsia" w:ascii="彩虹粗仿宋" w:hAnsi="Times New Roman" w:eastAsia="彩虹粗仿宋" w:cs="Times New Roman"/>
          <w:kern w:val="2"/>
          <w:sz w:val="30"/>
          <w:szCs w:val="30"/>
          <w:highlight w:val="none"/>
          <w:lang w:eastAsia="zh-CN"/>
        </w:rPr>
        <w:t>人员</w:t>
      </w:r>
      <w:r>
        <w:rPr>
          <w:rFonts w:hint="eastAsia" w:ascii="彩虹粗仿宋" w:hAnsi="Times New Roman" w:eastAsia="彩虹粗仿宋" w:cs="Times New Roman"/>
          <w:kern w:val="2"/>
          <w:sz w:val="30"/>
          <w:szCs w:val="30"/>
          <w:highlight w:val="none"/>
        </w:rPr>
        <w:t>人数不低于</w:t>
      </w:r>
      <w:r>
        <w:rPr>
          <w:rFonts w:hint="eastAsia" w:ascii="彩虹粗仿宋" w:hAnsi="Times New Roman" w:eastAsia="彩虹粗仿宋" w:cs="Times New Roman"/>
          <w:kern w:val="2"/>
          <w:sz w:val="30"/>
          <w:szCs w:val="30"/>
          <w:highlight w:val="none"/>
          <w:lang w:val="en-US" w:eastAsia="zh-CN"/>
        </w:rPr>
        <w:t>5</w:t>
      </w:r>
      <w:r>
        <w:rPr>
          <w:rFonts w:hint="eastAsia" w:ascii="彩虹粗仿宋" w:hAnsi="Times New Roman" w:eastAsia="彩虹粗仿宋" w:cs="Times New Roman"/>
          <w:kern w:val="2"/>
          <w:sz w:val="30"/>
          <w:szCs w:val="30"/>
          <w:highlight w:val="none"/>
        </w:rPr>
        <w:t>人</w:t>
      </w:r>
      <w:r>
        <w:rPr>
          <w:rFonts w:hint="eastAsia" w:ascii="彩虹粗仿宋" w:hAnsi="Times New Roman" w:eastAsia="彩虹粗仿宋" w:cs="Times New Roman"/>
          <w:kern w:val="2"/>
          <w:sz w:val="30"/>
          <w:szCs w:val="30"/>
          <w:highlight w:val="none"/>
          <w:lang w:eastAsia="zh-CN"/>
        </w:rPr>
        <w:t>，其中本地驻点人员不低于</w:t>
      </w:r>
      <w:r>
        <w:rPr>
          <w:rFonts w:hint="eastAsia" w:ascii="彩虹粗仿宋" w:hAnsi="Times New Roman" w:eastAsia="彩虹粗仿宋" w:cs="Times New Roman"/>
          <w:kern w:val="2"/>
          <w:sz w:val="30"/>
          <w:szCs w:val="30"/>
          <w:highlight w:val="none"/>
          <w:lang w:val="en-US" w:eastAsia="zh-CN"/>
        </w:rPr>
        <w:t>3人</w:t>
      </w:r>
      <w:r>
        <w:rPr>
          <w:rFonts w:hint="eastAsia" w:ascii="彩虹粗仿宋" w:hAnsi="宋体" w:eastAsia="彩虹粗仿宋" w:cs="Times New Roman"/>
          <w:snapToGrid w:val="0"/>
          <w:kern w:val="0"/>
          <w:sz w:val="32"/>
          <w:szCs w:val="32"/>
          <w:highlight w:val="none"/>
          <w:lang w:eastAsia="zh-CN"/>
        </w:rPr>
        <w:t>）</w:t>
      </w:r>
      <w:r>
        <w:rPr>
          <w:rFonts w:hint="eastAsia" w:ascii="彩虹粗仿宋" w:hAnsi="宋体" w:eastAsia="彩虹粗仿宋" w:cs="Times New Roman"/>
          <w:snapToGrid w:val="0"/>
          <w:kern w:val="0"/>
          <w:sz w:val="32"/>
          <w:szCs w:val="32"/>
          <w:highlight w:val="none"/>
        </w:rPr>
        <w:t>，保</w:t>
      </w:r>
      <w:r>
        <w:rPr>
          <w:rFonts w:hint="eastAsia" w:ascii="彩虹粗仿宋" w:hAnsi="宋体" w:eastAsia="彩虹粗仿宋" w:cs="Times New Roman"/>
          <w:snapToGrid w:val="0"/>
          <w:kern w:val="0"/>
          <w:sz w:val="32"/>
          <w:szCs w:val="32"/>
        </w:rPr>
        <w:t>证项目正常运行的措施。</w:t>
      </w:r>
    </w:p>
    <w:p>
      <w:pPr>
        <w:adjustRightInd w:val="0"/>
        <w:snapToGrid w:val="0"/>
        <w:spacing w:line="560" w:lineRule="atLeast"/>
        <w:ind w:firstLine="640" w:firstLineChars="200"/>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2.维护支持服务期内，提供7*24小时电话、网络等远程支持服务及上门维护支持服务。维护支持服务内容包括技术支持、日常巡检、故障排除、项目升级、项目功能后期细微优化或改进（按使用单位提供的功能需求在规定的时限内完成）等。</w:t>
      </w:r>
    </w:p>
    <w:p>
      <w:pPr>
        <w:adjustRightInd w:val="0"/>
        <w:snapToGrid w:val="0"/>
        <w:spacing w:line="560" w:lineRule="atLeast"/>
        <w:ind w:firstLine="640"/>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lang w:val="en-US" w:eastAsia="zh-CN"/>
        </w:rPr>
        <w:t>3.</w:t>
      </w:r>
      <w:r>
        <w:rPr>
          <w:rFonts w:hint="eastAsia" w:ascii="彩虹粗仿宋" w:hAnsi="宋体" w:eastAsia="彩虹粗仿宋" w:cs="Times New Roman"/>
          <w:snapToGrid w:val="0"/>
          <w:kern w:val="0"/>
          <w:sz w:val="32"/>
          <w:szCs w:val="32"/>
        </w:rPr>
        <w:t>在接到系统故障通知（可口头通知）后立即响应</w:t>
      </w:r>
      <w:r>
        <w:rPr>
          <w:rFonts w:hint="eastAsia" w:ascii="彩虹粗仿宋" w:hAnsi="宋体" w:eastAsia="彩虹粗仿宋" w:cs="Times New Roman"/>
          <w:snapToGrid w:val="0"/>
          <w:kern w:val="0"/>
          <w:sz w:val="32"/>
          <w:szCs w:val="32"/>
          <w:lang w:eastAsia="zh-CN"/>
        </w:rPr>
        <w:t>并</w:t>
      </w:r>
      <w:r>
        <w:rPr>
          <w:rFonts w:hint="eastAsia" w:ascii="彩虹粗仿宋" w:hAnsi="宋体" w:eastAsia="彩虹粗仿宋" w:cs="Times New Roman"/>
          <w:snapToGrid w:val="0"/>
          <w:kern w:val="0"/>
          <w:sz w:val="32"/>
          <w:szCs w:val="32"/>
        </w:rPr>
        <w:t>组织分析，最迟</w:t>
      </w:r>
      <w:r>
        <w:rPr>
          <w:rFonts w:hint="eastAsia" w:ascii="彩虹粗仿宋" w:hAnsi="宋体" w:eastAsia="彩虹粗仿宋" w:cs="Times New Roman"/>
          <w:snapToGrid w:val="0"/>
          <w:kern w:val="0"/>
          <w:sz w:val="32"/>
          <w:szCs w:val="32"/>
          <w:lang w:eastAsia="zh-CN"/>
        </w:rPr>
        <w:t>需在</w:t>
      </w:r>
      <w:r>
        <w:rPr>
          <w:rFonts w:hint="eastAsia" w:ascii="彩虹粗仿宋" w:hAnsi="宋体" w:eastAsia="彩虹粗仿宋" w:cs="Times New Roman"/>
          <w:snapToGrid w:val="0"/>
          <w:kern w:val="0"/>
          <w:sz w:val="32"/>
          <w:szCs w:val="32"/>
          <w:lang w:val="en-US" w:eastAsia="zh-CN"/>
        </w:rPr>
        <w:t>2</w:t>
      </w:r>
      <w:r>
        <w:rPr>
          <w:rFonts w:hint="eastAsia" w:ascii="彩虹粗仿宋" w:hAnsi="宋体" w:eastAsia="彩虹粗仿宋" w:cs="Times New Roman"/>
          <w:snapToGrid w:val="0"/>
          <w:kern w:val="0"/>
          <w:sz w:val="32"/>
          <w:szCs w:val="32"/>
        </w:rPr>
        <w:t>小时内给出解决方案。</w:t>
      </w:r>
    </w:p>
    <w:p>
      <w:pPr>
        <w:adjustRightInd w:val="0"/>
        <w:snapToGrid w:val="0"/>
        <w:spacing w:line="560" w:lineRule="atLeast"/>
        <w:ind w:firstLine="640" w:firstLineChars="200"/>
        <w:rPr>
          <w:rFonts w:hint="eastAsia" w:ascii="彩虹粗仿宋" w:hAnsi="宋体" w:eastAsia="彩虹粗仿宋" w:cs="Times New Roman"/>
          <w:snapToGrid w:val="0"/>
          <w:kern w:val="0"/>
          <w:sz w:val="32"/>
          <w:szCs w:val="32"/>
          <w:highlight w:val="none"/>
        </w:rPr>
      </w:pPr>
      <w:r>
        <w:rPr>
          <w:rFonts w:hint="eastAsia" w:ascii="彩虹粗仿宋" w:hAnsi="宋体" w:eastAsia="彩虹粗仿宋" w:cs="Times New Roman"/>
          <w:snapToGrid w:val="0"/>
          <w:kern w:val="0"/>
          <w:sz w:val="32"/>
          <w:szCs w:val="32"/>
          <w:lang w:val="en-US" w:eastAsia="zh-CN"/>
        </w:rPr>
        <w:t>4.</w:t>
      </w:r>
      <w:r>
        <w:rPr>
          <w:rFonts w:hint="eastAsia" w:ascii="彩虹粗仿宋" w:hAnsi="宋体" w:eastAsia="彩虹粗仿宋" w:cs="Times New Roman"/>
          <w:snapToGrid w:val="0"/>
          <w:kern w:val="0"/>
          <w:sz w:val="32"/>
          <w:szCs w:val="32"/>
        </w:rPr>
        <w:t>因为政策性原因，需对本系统的应用软件进行相应修改</w:t>
      </w:r>
      <w:r>
        <w:rPr>
          <w:rFonts w:hint="eastAsia" w:ascii="彩虹粗仿宋" w:hAnsi="宋体" w:eastAsia="彩虹粗仿宋" w:cs="Times New Roman"/>
          <w:snapToGrid w:val="0"/>
          <w:kern w:val="0"/>
          <w:sz w:val="32"/>
          <w:szCs w:val="32"/>
          <w:lang w:eastAsia="zh-CN"/>
        </w:rPr>
        <w:t>的</w:t>
      </w:r>
      <w:r>
        <w:rPr>
          <w:rFonts w:hint="eastAsia" w:ascii="彩虹粗仿宋" w:hAnsi="宋体" w:eastAsia="彩虹粗仿宋" w:cs="Times New Roman"/>
          <w:snapToGrid w:val="0"/>
          <w:kern w:val="0"/>
          <w:sz w:val="32"/>
          <w:szCs w:val="32"/>
        </w:rPr>
        <w:t>，</w:t>
      </w:r>
      <w:bookmarkStart w:id="1" w:name="_GoBack"/>
      <w:r>
        <w:rPr>
          <w:rFonts w:hint="eastAsia" w:ascii="彩虹粗仿宋" w:hAnsi="宋体" w:eastAsia="彩虹粗仿宋" w:cs="Times New Roman"/>
          <w:snapToGrid w:val="0"/>
          <w:kern w:val="0"/>
          <w:sz w:val="32"/>
          <w:szCs w:val="32"/>
          <w:highlight w:val="none"/>
          <w:lang w:eastAsia="zh-CN"/>
        </w:rPr>
        <w:t>需在接到</w:t>
      </w:r>
      <w:r>
        <w:rPr>
          <w:rFonts w:hint="eastAsia" w:ascii="彩虹粗仿宋" w:hAnsi="宋体" w:eastAsia="彩虹粗仿宋" w:cs="Times New Roman"/>
          <w:snapToGrid w:val="0"/>
          <w:kern w:val="0"/>
          <w:sz w:val="32"/>
          <w:szCs w:val="32"/>
          <w:highlight w:val="none"/>
        </w:rPr>
        <w:t>通知（可口头通知）两日内，根据具体时间和实施要求，进行相关修改工作。</w:t>
      </w:r>
    </w:p>
    <w:p>
      <w:pPr>
        <w:adjustRightInd w:val="0"/>
        <w:snapToGrid w:val="0"/>
        <w:spacing w:line="560" w:lineRule="atLeast"/>
        <w:ind w:firstLine="640" w:firstLineChars="200"/>
        <w:rPr>
          <w:rFonts w:hint="eastAsia" w:ascii="彩虹粗仿宋" w:hAnsi="宋体" w:eastAsia="彩虹粗仿宋" w:cs="Times New Roman"/>
          <w:snapToGrid w:val="0"/>
          <w:kern w:val="0"/>
          <w:sz w:val="32"/>
          <w:szCs w:val="32"/>
          <w:highlight w:val="none"/>
          <w:lang w:val="en-US" w:eastAsia="zh-CN"/>
        </w:rPr>
      </w:pPr>
      <w:r>
        <w:rPr>
          <w:rFonts w:hint="eastAsia" w:ascii="彩虹粗仿宋" w:hAnsi="宋体" w:eastAsia="彩虹粗仿宋" w:cs="Times New Roman"/>
          <w:snapToGrid w:val="0"/>
          <w:kern w:val="0"/>
          <w:sz w:val="32"/>
          <w:szCs w:val="32"/>
          <w:highlight w:val="none"/>
          <w:lang w:val="en-US" w:eastAsia="zh-CN"/>
        </w:rPr>
        <w:t>5.项目实施完成，经验收合格之日起3年内为免费质保期（含软件免费升级服务）。</w:t>
      </w:r>
    </w:p>
    <w:bookmarkEnd w:id="0"/>
    <w:p>
      <w:pPr>
        <w:adjustRightInd w:val="0"/>
        <w:snapToGrid w:val="0"/>
        <w:spacing w:line="560" w:lineRule="atLeast"/>
        <w:ind w:firstLine="643" w:firstLineChars="200"/>
        <w:rPr>
          <w:rFonts w:hint="eastAsia" w:ascii="彩虹粗仿宋" w:hAnsi="宋体" w:eastAsia="彩虹粗仿宋" w:cs="Times New Roman"/>
          <w:b/>
          <w:snapToGrid w:val="0"/>
          <w:kern w:val="0"/>
          <w:sz w:val="32"/>
          <w:szCs w:val="32"/>
          <w:highlight w:val="none"/>
        </w:rPr>
      </w:pPr>
      <w:r>
        <w:rPr>
          <w:rFonts w:hint="eastAsia" w:ascii="彩虹粗仿宋" w:hAnsi="宋体" w:eastAsia="彩虹粗仿宋" w:cs="Times New Roman"/>
          <w:b/>
          <w:snapToGrid w:val="0"/>
          <w:kern w:val="0"/>
          <w:sz w:val="32"/>
          <w:szCs w:val="32"/>
          <w:highlight w:val="none"/>
        </w:rPr>
        <w:t>（</w:t>
      </w:r>
      <w:r>
        <w:rPr>
          <w:rFonts w:hint="eastAsia" w:ascii="彩虹粗仿宋" w:hAnsi="宋体" w:eastAsia="彩虹粗仿宋" w:cs="Times New Roman"/>
          <w:b/>
          <w:snapToGrid w:val="0"/>
          <w:kern w:val="0"/>
          <w:sz w:val="32"/>
          <w:szCs w:val="32"/>
          <w:highlight w:val="none"/>
          <w:lang w:eastAsia="zh-CN"/>
        </w:rPr>
        <w:t>五</w:t>
      </w:r>
      <w:r>
        <w:rPr>
          <w:rFonts w:hint="eastAsia" w:ascii="彩虹粗仿宋" w:hAnsi="宋体" w:eastAsia="彩虹粗仿宋" w:cs="Times New Roman"/>
          <w:b/>
          <w:snapToGrid w:val="0"/>
          <w:kern w:val="0"/>
          <w:sz w:val="32"/>
          <w:szCs w:val="32"/>
          <w:highlight w:val="none"/>
        </w:rPr>
        <w:t>）付款方式</w:t>
      </w:r>
    </w:p>
    <w:p>
      <w:pPr>
        <w:autoSpaceDE/>
        <w:autoSpaceDN/>
        <w:adjustRightInd w:val="0"/>
        <w:snapToGrid w:val="0"/>
        <w:spacing w:line="560" w:lineRule="atLeast"/>
        <w:ind w:firstLine="640" w:firstLineChars="0"/>
        <w:rPr>
          <w:rFonts w:hint="eastAsia" w:ascii="彩虹粗仿宋" w:hAnsi="宋体" w:eastAsia="彩虹粗仿宋" w:cs="Times New Roman"/>
          <w:snapToGrid w:val="0"/>
          <w:color w:val="auto"/>
          <w:kern w:val="0"/>
          <w:sz w:val="32"/>
          <w:szCs w:val="32"/>
          <w:highlight w:val="none"/>
        </w:rPr>
      </w:pPr>
      <w:r>
        <w:rPr>
          <w:rFonts w:hint="eastAsia" w:ascii="彩虹粗仿宋" w:hAnsi="宋体" w:eastAsia="彩虹粗仿宋" w:cs="Times New Roman"/>
          <w:snapToGrid w:val="0"/>
          <w:kern w:val="0"/>
          <w:sz w:val="32"/>
          <w:szCs w:val="32"/>
          <w:highlight w:val="none"/>
        </w:rPr>
        <w:t>1.</w:t>
      </w:r>
      <w:r>
        <w:rPr>
          <w:rFonts w:hint="eastAsia" w:ascii="彩虹粗仿宋" w:hAnsi="宋体" w:eastAsia="彩虹粗仿宋" w:cs="Times New Roman"/>
          <w:snapToGrid w:val="0"/>
          <w:color w:val="auto"/>
          <w:kern w:val="0"/>
          <w:sz w:val="32"/>
          <w:szCs w:val="32"/>
          <w:highlight w:val="none"/>
        </w:rPr>
        <w:t>合同签订后，</w:t>
      </w:r>
      <w:r>
        <w:rPr>
          <w:rFonts w:hint="eastAsia" w:ascii="彩虹粗仿宋" w:hAnsi="宋体" w:eastAsia="彩虹粗仿宋" w:cs="Times New Roman"/>
          <w:snapToGrid w:val="0"/>
          <w:kern w:val="0"/>
          <w:sz w:val="32"/>
          <w:szCs w:val="32"/>
          <w:highlight w:val="none"/>
        </w:rPr>
        <w:t>供应商向我方开具并提交符合国家规定及</w:t>
      </w:r>
      <w:r>
        <w:rPr>
          <w:rFonts w:hint="eastAsia" w:ascii="彩虹粗仿宋" w:hAnsi="宋体" w:eastAsia="彩虹粗仿宋" w:cs="Times New Roman"/>
          <w:snapToGrid w:val="0"/>
          <w:kern w:val="0"/>
          <w:sz w:val="32"/>
          <w:szCs w:val="32"/>
          <w:highlight w:val="none"/>
          <w:lang w:eastAsia="zh-CN"/>
        </w:rPr>
        <w:t>我</w:t>
      </w:r>
      <w:r>
        <w:rPr>
          <w:rFonts w:hint="eastAsia" w:ascii="彩虹粗仿宋" w:hAnsi="宋体" w:eastAsia="彩虹粗仿宋" w:cs="Times New Roman"/>
          <w:snapToGrid w:val="0"/>
          <w:kern w:val="0"/>
          <w:sz w:val="32"/>
          <w:szCs w:val="32"/>
          <w:highlight w:val="none"/>
        </w:rPr>
        <w:t>行要求的相应金额的增值税专用发票后</w:t>
      </w:r>
      <w:r>
        <w:rPr>
          <w:rFonts w:hint="eastAsia" w:ascii="彩虹粗仿宋" w:hAnsi="宋体" w:eastAsia="彩虹粗仿宋" w:cs="Times New Roman"/>
          <w:snapToGrid w:val="0"/>
          <w:kern w:val="0"/>
          <w:sz w:val="32"/>
          <w:szCs w:val="32"/>
          <w:highlight w:val="none"/>
          <w:lang w:eastAsia="zh-CN"/>
        </w:rPr>
        <w:t>贰</w:t>
      </w:r>
      <w:r>
        <w:rPr>
          <w:rFonts w:hint="eastAsia" w:ascii="彩虹粗仿宋" w:hAnsi="宋体" w:eastAsia="彩虹粗仿宋" w:cs="Times New Roman"/>
          <w:snapToGrid w:val="0"/>
          <w:kern w:val="0"/>
          <w:sz w:val="32"/>
          <w:szCs w:val="32"/>
          <w:highlight w:val="none"/>
        </w:rPr>
        <w:t>拾个工作日内</w:t>
      </w:r>
      <w:r>
        <w:rPr>
          <w:rFonts w:hint="eastAsia" w:ascii="彩虹粗仿宋" w:hAnsi="宋体" w:eastAsia="彩虹粗仿宋" w:cs="Times New Roman"/>
          <w:snapToGrid w:val="0"/>
          <w:color w:val="auto"/>
          <w:kern w:val="0"/>
          <w:sz w:val="32"/>
          <w:szCs w:val="32"/>
          <w:highlight w:val="none"/>
        </w:rPr>
        <w:t>，</w:t>
      </w:r>
      <w:r>
        <w:rPr>
          <w:rFonts w:hint="eastAsia" w:ascii="彩虹粗仿宋" w:hAnsi="宋体" w:eastAsia="彩虹粗仿宋" w:cs="Times New Roman"/>
          <w:snapToGrid w:val="0"/>
          <w:kern w:val="0"/>
          <w:sz w:val="32"/>
          <w:szCs w:val="32"/>
          <w:highlight w:val="none"/>
        </w:rPr>
        <w:t>我方</w:t>
      </w:r>
      <w:r>
        <w:rPr>
          <w:rFonts w:hint="eastAsia" w:ascii="彩虹粗仿宋" w:hAnsi="宋体" w:eastAsia="彩虹粗仿宋" w:cs="Times New Roman"/>
          <w:snapToGrid w:val="0"/>
          <w:color w:val="auto"/>
          <w:kern w:val="0"/>
          <w:sz w:val="32"/>
          <w:szCs w:val="32"/>
          <w:highlight w:val="none"/>
        </w:rPr>
        <w:t>支付合同</w:t>
      </w:r>
      <w:r>
        <w:rPr>
          <w:rFonts w:hint="eastAsia" w:ascii="彩虹粗仿宋" w:hAnsi="宋体" w:eastAsia="彩虹粗仿宋" w:cs="Times New Roman"/>
          <w:snapToGrid w:val="0"/>
          <w:color w:val="auto"/>
          <w:kern w:val="0"/>
          <w:sz w:val="32"/>
          <w:szCs w:val="32"/>
          <w:highlight w:val="none"/>
          <w:lang w:eastAsia="zh-CN"/>
        </w:rPr>
        <w:t>内已明确升级开发项目对应</w:t>
      </w:r>
      <w:r>
        <w:rPr>
          <w:rFonts w:hint="eastAsia" w:ascii="彩虹粗仿宋" w:hAnsi="宋体" w:eastAsia="彩虹粗仿宋" w:cs="Times New Roman"/>
          <w:snapToGrid w:val="0"/>
          <w:color w:val="auto"/>
          <w:kern w:val="0"/>
          <w:sz w:val="32"/>
          <w:szCs w:val="32"/>
          <w:highlight w:val="none"/>
        </w:rPr>
        <w:t>金额总额的50%；</w:t>
      </w:r>
    </w:p>
    <w:p>
      <w:pPr>
        <w:autoSpaceDE/>
        <w:autoSpaceDN/>
        <w:adjustRightInd w:val="0"/>
        <w:snapToGrid w:val="0"/>
        <w:spacing w:line="560" w:lineRule="atLeast"/>
        <w:ind w:firstLine="640" w:firstLineChars="0"/>
        <w:rPr>
          <w:rFonts w:hint="eastAsia" w:ascii="彩虹粗仿宋" w:hAnsi="宋体" w:eastAsia="彩虹粗仿宋" w:cs="Times New Roman"/>
          <w:snapToGrid w:val="0"/>
          <w:color w:val="auto"/>
          <w:kern w:val="0"/>
          <w:sz w:val="32"/>
          <w:szCs w:val="32"/>
          <w:highlight w:val="none"/>
        </w:rPr>
      </w:pPr>
      <w:r>
        <w:rPr>
          <w:rFonts w:hint="eastAsia" w:ascii="彩虹粗仿宋" w:hAnsi="宋体" w:eastAsia="彩虹粗仿宋" w:cs="Times New Roman"/>
          <w:snapToGrid w:val="0"/>
          <w:kern w:val="0"/>
          <w:sz w:val="32"/>
          <w:szCs w:val="32"/>
          <w:highlight w:val="none"/>
          <w:lang w:val="en-US" w:eastAsia="zh-CN"/>
        </w:rPr>
        <w:t>2</w:t>
      </w:r>
      <w:r>
        <w:rPr>
          <w:rFonts w:hint="eastAsia" w:ascii="彩虹粗仿宋" w:hAnsi="宋体" w:eastAsia="彩虹粗仿宋" w:cs="Times New Roman"/>
          <w:snapToGrid w:val="0"/>
          <w:kern w:val="0"/>
          <w:sz w:val="32"/>
          <w:szCs w:val="32"/>
          <w:highlight w:val="none"/>
        </w:rPr>
        <w:t>.</w:t>
      </w:r>
      <w:r>
        <w:rPr>
          <w:rFonts w:hint="eastAsia" w:ascii="彩虹粗仿宋" w:hAnsi="宋体" w:eastAsia="彩虹粗仿宋" w:cs="Times New Roman"/>
          <w:snapToGrid w:val="0"/>
          <w:color w:val="auto"/>
          <w:kern w:val="0"/>
          <w:sz w:val="32"/>
          <w:szCs w:val="32"/>
          <w:highlight w:val="none"/>
        </w:rPr>
        <w:t>合同</w:t>
      </w:r>
      <w:r>
        <w:rPr>
          <w:rFonts w:hint="eastAsia" w:ascii="彩虹粗仿宋" w:hAnsi="宋体" w:eastAsia="彩虹粗仿宋" w:cs="Times New Roman"/>
          <w:snapToGrid w:val="0"/>
          <w:color w:val="auto"/>
          <w:kern w:val="0"/>
          <w:sz w:val="32"/>
          <w:szCs w:val="32"/>
          <w:highlight w:val="none"/>
          <w:lang w:eastAsia="zh-CN"/>
        </w:rPr>
        <w:t>内已明确升级开发项目</w:t>
      </w:r>
      <w:r>
        <w:rPr>
          <w:rFonts w:hint="eastAsia" w:ascii="彩虹粗仿宋" w:hAnsi="宋体" w:eastAsia="彩虹粗仿宋" w:cs="Times New Roman"/>
          <w:snapToGrid w:val="0"/>
          <w:color w:val="auto"/>
          <w:kern w:val="0"/>
          <w:sz w:val="32"/>
          <w:szCs w:val="32"/>
          <w:highlight w:val="none"/>
        </w:rPr>
        <w:t>上线调试完成投入使用并通过最终验收后，</w:t>
      </w:r>
      <w:r>
        <w:rPr>
          <w:rFonts w:hint="eastAsia" w:ascii="彩虹粗仿宋" w:hAnsi="宋体" w:eastAsia="彩虹粗仿宋" w:cs="Times New Roman"/>
          <w:snapToGrid w:val="0"/>
          <w:kern w:val="0"/>
          <w:sz w:val="32"/>
          <w:szCs w:val="32"/>
          <w:highlight w:val="none"/>
        </w:rPr>
        <w:t>供应商向我方开具并提交符合国家规定及</w:t>
      </w:r>
      <w:r>
        <w:rPr>
          <w:rFonts w:hint="eastAsia" w:ascii="彩虹粗仿宋" w:hAnsi="宋体" w:eastAsia="彩虹粗仿宋" w:cs="Times New Roman"/>
          <w:snapToGrid w:val="0"/>
          <w:kern w:val="0"/>
          <w:sz w:val="32"/>
          <w:szCs w:val="32"/>
          <w:highlight w:val="none"/>
          <w:lang w:eastAsia="zh-CN"/>
        </w:rPr>
        <w:t>我</w:t>
      </w:r>
      <w:r>
        <w:rPr>
          <w:rFonts w:hint="eastAsia" w:ascii="彩虹粗仿宋" w:hAnsi="宋体" w:eastAsia="彩虹粗仿宋" w:cs="Times New Roman"/>
          <w:snapToGrid w:val="0"/>
          <w:kern w:val="0"/>
          <w:sz w:val="32"/>
          <w:szCs w:val="32"/>
          <w:highlight w:val="none"/>
        </w:rPr>
        <w:t>行要求的相应金额的增值税专用发票后</w:t>
      </w:r>
      <w:r>
        <w:rPr>
          <w:rFonts w:hint="eastAsia" w:ascii="彩虹粗仿宋" w:hAnsi="宋体" w:eastAsia="彩虹粗仿宋" w:cs="Times New Roman"/>
          <w:snapToGrid w:val="0"/>
          <w:kern w:val="0"/>
          <w:sz w:val="32"/>
          <w:szCs w:val="32"/>
          <w:highlight w:val="none"/>
          <w:lang w:eastAsia="zh-CN"/>
        </w:rPr>
        <w:t>贰</w:t>
      </w:r>
      <w:r>
        <w:rPr>
          <w:rFonts w:hint="eastAsia" w:ascii="彩虹粗仿宋" w:hAnsi="宋体" w:eastAsia="彩虹粗仿宋" w:cs="Times New Roman"/>
          <w:snapToGrid w:val="0"/>
          <w:kern w:val="0"/>
          <w:sz w:val="32"/>
          <w:szCs w:val="32"/>
          <w:highlight w:val="none"/>
        </w:rPr>
        <w:t>拾个工作日内</w:t>
      </w:r>
      <w:r>
        <w:rPr>
          <w:rFonts w:hint="eastAsia" w:ascii="彩虹粗仿宋" w:hAnsi="宋体" w:eastAsia="彩虹粗仿宋" w:cs="Times New Roman"/>
          <w:snapToGrid w:val="0"/>
          <w:color w:val="auto"/>
          <w:kern w:val="0"/>
          <w:sz w:val="32"/>
          <w:szCs w:val="32"/>
          <w:highlight w:val="none"/>
        </w:rPr>
        <w:t>，</w:t>
      </w:r>
      <w:r>
        <w:rPr>
          <w:rFonts w:hint="eastAsia" w:ascii="彩虹粗仿宋" w:hAnsi="宋体" w:eastAsia="彩虹粗仿宋" w:cs="Times New Roman"/>
          <w:snapToGrid w:val="0"/>
          <w:kern w:val="0"/>
          <w:sz w:val="32"/>
          <w:szCs w:val="32"/>
          <w:highlight w:val="none"/>
        </w:rPr>
        <w:t>我方</w:t>
      </w:r>
      <w:r>
        <w:rPr>
          <w:rFonts w:hint="eastAsia" w:ascii="彩虹粗仿宋" w:hAnsi="宋体" w:eastAsia="彩虹粗仿宋" w:cs="Times New Roman"/>
          <w:snapToGrid w:val="0"/>
          <w:color w:val="auto"/>
          <w:kern w:val="0"/>
          <w:sz w:val="32"/>
          <w:szCs w:val="32"/>
          <w:highlight w:val="none"/>
        </w:rPr>
        <w:t>支付合同</w:t>
      </w:r>
      <w:r>
        <w:rPr>
          <w:rFonts w:hint="eastAsia" w:ascii="彩虹粗仿宋" w:hAnsi="宋体" w:eastAsia="彩虹粗仿宋" w:cs="Times New Roman"/>
          <w:snapToGrid w:val="0"/>
          <w:color w:val="auto"/>
          <w:kern w:val="0"/>
          <w:sz w:val="32"/>
          <w:szCs w:val="32"/>
          <w:highlight w:val="none"/>
          <w:lang w:eastAsia="zh-CN"/>
        </w:rPr>
        <w:t>内已明确升级开发项目对应</w:t>
      </w:r>
      <w:r>
        <w:rPr>
          <w:rFonts w:hint="eastAsia" w:ascii="彩虹粗仿宋" w:hAnsi="宋体" w:eastAsia="彩虹粗仿宋" w:cs="Times New Roman"/>
          <w:snapToGrid w:val="0"/>
          <w:color w:val="auto"/>
          <w:kern w:val="0"/>
          <w:sz w:val="32"/>
          <w:szCs w:val="32"/>
          <w:highlight w:val="none"/>
        </w:rPr>
        <w:t>金额总额的4</w:t>
      </w:r>
      <w:r>
        <w:rPr>
          <w:rFonts w:hint="eastAsia" w:ascii="彩虹粗仿宋" w:hAnsi="宋体" w:eastAsia="彩虹粗仿宋" w:cs="Times New Roman"/>
          <w:snapToGrid w:val="0"/>
          <w:color w:val="auto"/>
          <w:kern w:val="0"/>
          <w:sz w:val="32"/>
          <w:szCs w:val="32"/>
          <w:highlight w:val="none"/>
          <w:lang w:val="en-US" w:eastAsia="zh-CN"/>
        </w:rPr>
        <w:t>0</w:t>
      </w:r>
      <w:r>
        <w:rPr>
          <w:rFonts w:hint="eastAsia" w:ascii="彩虹粗仿宋" w:hAnsi="宋体" w:eastAsia="彩虹粗仿宋" w:cs="Times New Roman"/>
          <w:snapToGrid w:val="0"/>
          <w:color w:val="auto"/>
          <w:kern w:val="0"/>
          <w:sz w:val="32"/>
          <w:szCs w:val="32"/>
          <w:highlight w:val="none"/>
        </w:rPr>
        <w:t>%；</w:t>
      </w:r>
    </w:p>
    <w:p>
      <w:pPr>
        <w:adjustRightInd w:val="0"/>
        <w:snapToGrid w:val="0"/>
        <w:spacing w:line="560" w:lineRule="atLeast"/>
        <w:ind w:firstLine="640" w:firstLineChars="200"/>
        <w:jc w:val="left"/>
        <w:rPr>
          <w:rFonts w:hint="eastAsia" w:ascii="彩虹粗仿宋" w:hAnsi="宋体" w:eastAsia="彩虹粗仿宋" w:cs="Times New Roman"/>
          <w:snapToGrid w:val="0"/>
          <w:color w:val="auto"/>
          <w:kern w:val="0"/>
          <w:sz w:val="32"/>
          <w:szCs w:val="32"/>
        </w:rPr>
      </w:pPr>
      <w:r>
        <w:rPr>
          <w:rFonts w:hint="eastAsia" w:ascii="彩虹粗仿宋" w:hAnsi="宋体" w:eastAsia="彩虹粗仿宋" w:cs="Times New Roman"/>
          <w:snapToGrid w:val="0"/>
          <w:kern w:val="0"/>
          <w:sz w:val="32"/>
          <w:szCs w:val="32"/>
          <w:highlight w:val="none"/>
          <w:lang w:val="en-US" w:eastAsia="zh-CN"/>
        </w:rPr>
        <w:t>3</w:t>
      </w:r>
      <w:r>
        <w:rPr>
          <w:rFonts w:hint="eastAsia" w:ascii="彩虹粗仿宋" w:hAnsi="宋体" w:eastAsia="彩虹粗仿宋" w:cs="Times New Roman"/>
          <w:snapToGrid w:val="0"/>
          <w:kern w:val="0"/>
          <w:sz w:val="32"/>
          <w:szCs w:val="32"/>
          <w:highlight w:val="none"/>
        </w:rPr>
        <w:t>.</w:t>
      </w:r>
      <w:r>
        <w:rPr>
          <w:rFonts w:hint="eastAsia" w:ascii="彩虹粗仿宋" w:hAnsi="宋体" w:eastAsia="彩虹粗仿宋" w:cs="Times New Roman"/>
          <w:snapToGrid w:val="0"/>
          <w:kern w:val="0"/>
          <w:sz w:val="32"/>
          <w:szCs w:val="32"/>
          <w:highlight w:val="none"/>
          <w:lang w:eastAsia="zh-CN"/>
        </w:rPr>
        <w:t>项目全部</w:t>
      </w:r>
      <w:r>
        <w:rPr>
          <w:rFonts w:hint="eastAsia" w:ascii="彩虹粗仿宋" w:hAnsi="宋体" w:eastAsia="彩虹粗仿宋" w:cs="Times New Roman"/>
          <w:snapToGrid w:val="0"/>
          <w:kern w:val="0"/>
          <w:sz w:val="32"/>
          <w:szCs w:val="32"/>
          <w:highlight w:val="none"/>
        </w:rPr>
        <w:t>最终验收</w:t>
      </w:r>
      <w:r>
        <w:rPr>
          <w:rFonts w:hint="eastAsia" w:ascii="彩虹粗仿宋" w:hAnsi="宋体" w:eastAsia="彩虹粗仿宋" w:cs="Times New Roman"/>
          <w:snapToGrid w:val="0"/>
          <w:kern w:val="0"/>
          <w:sz w:val="32"/>
          <w:szCs w:val="32"/>
          <w:highlight w:val="none"/>
          <w:lang w:eastAsia="zh-CN"/>
        </w:rPr>
        <w:t>合格并正常运行满三年</w:t>
      </w:r>
      <w:r>
        <w:rPr>
          <w:rFonts w:hint="eastAsia" w:ascii="彩虹粗仿宋" w:hAnsi="宋体" w:eastAsia="彩虹粗仿宋" w:cs="Times New Roman"/>
          <w:snapToGrid w:val="0"/>
          <w:kern w:val="0"/>
          <w:sz w:val="32"/>
          <w:szCs w:val="32"/>
          <w:highlight w:val="none"/>
        </w:rPr>
        <w:t>后，且供应商无违约事项</w:t>
      </w:r>
      <w:r>
        <w:rPr>
          <w:rFonts w:hint="eastAsia" w:ascii="彩虹粗仿宋" w:hAnsi="宋体" w:eastAsia="彩虹粗仿宋" w:cs="Times New Roman"/>
          <w:snapToGrid w:val="0"/>
          <w:kern w:val="0"/>
          <w:sz w:val="32"/>
          <w:szCs w:val="32"/>
          <w:highlight w:val="none"/>
          <w:lang w:eastAsia="zh-CN"/>
        </w:rPr>
        <w:t>，并</w:t>
      </w:r>
      <w:r>
        <w:rPr>
          <w:rFonts w:hint="eastAsia" w:ascii="彩虹粗仿宋" w:hAnsi="宋体" w:eastAsia="彩虹粗仿宋" w:cs="Times New Roman"/>
          <w:snapToGrid w:val="0"/>
          <w:kern w:val="0"/>
          <w:sz w:val="32"/>
          <w:szCs w:val="32"/>
          <w:highlight w:val="none"/>
        </w:rPr>
        <w:t>向我方开具并提交符合国家规定及</w:t>
      </w:r>
      <w:r>
        <w:rPr>
          <w:rFonts w:hint="eastAsia" w:ascii="彩虹粗仿宋" w:hAnsi="宋体" w:eastAsia="彩虹粗仿宋" w:cs="Times New Roman"/>
          <w:snapToGrid w:val="0"/>
          <w:kern w:val="0"/>
          <w:sz w:val="32"/>
          <w:szCs w:val="32"/>
          <w:highlight w:val="none"/>
          <w:lang w:eastAsia="zh-CN"/>
        </w:rPr>
        <w:t>我</w:t>
      </w:r>
      <w:r>
        <w:rPr>
          <w:rFonts w:hint="eastAsia" w:ascii="彩虹粗仿宋" w:hAnsi="宋体" w:eastAsia="彩虹粗仿宋" w:cs="Times New Roman"/>
          <w:snapToGrid w:val="0"/>
          <w:kern w:val="0"/>
          <w:sz w:val="32"/>
          <w:szCs w:val="32"/>
          <w:highlight w:val="none"/>
        </w:rPr>
        <w:t>行要求的相应金额的增值税专用发票后</w:t>
      </w:r>
      <w:r>
        <w:rPr>
          <w:rFonts w:hint="eastAsia" w:ascii="彩虹粗仿宋" w:hAnsi="宋体" w:eastAsia="彩虹粗仿宋" w:cs="Times New Roman"/>
          <w:snapToGrid w:val="0"/>
          <w:kern w:val="0"/>
          <w:sz w:val="32"/>
          <w:szCs w:val="32"/>
          <w:highlight w:val="none"/>
          <w:lang w:eastAsia="zh-CN"/>
        </w:rPr>
        <w:t>贰</w:t>
      </w:r>
      <w:r>
        <w:rPr>
          <w:rFonts w:hint="eastAsia" w:ascii="彩虹粗仿宋" w:hAnsi="宋体" w:eastAsia="彩虹粗仿宋" w:cs="Times New Roman"/>
          <w:snapToGrid w:val="0"/>
          <w:kern w:val="0"/>
          <w:sz w:val="32"/>
          <w:szCs w:val="32"/>
          <w:highlight w:val="none"/>
        </w:rPr>
        <w:t>拾个工作日内</w:t>
      </w:r>
      <w:bookmarkEnd w:id="1"/>
      <w:r>
        <w:rPr>
          <w:rFonts w:hint="eastAsia" w:ascii="彩虹粗仿宋" w:hAnsi="宋体" w:eastAsia="彩虹粗仿宋" w:cs="Times New Roman"/>
          <w:snapToGrid w:val="0"/>
          <w:kern w:val="0"/>
          <w:sz w:val="32"/>
          <w:szCs w:val="32"/>
        </w:rPr>
        <w:t>，我方支付</w:t>
      </w:r>
      <w:r>
        <w:rPr>
          <w:rFonts w:hint="eastAsia" w:ascii="彩虹粗仿宋" w:hAnsi="宋体" w:eastAsia="彩虹粗仿宋" w:cs="Times New Roman"/>
          <w:snapToGrid w:val="0"/>
          <w:color w:val="auto"/>
          <w:kern w:val="0"/>
          <w:sz w:val="32"/>
          <w:szCs w:val="32"/>
        </w:rPr>
        <w:t>合同</w:t>
      </w:r>
      <w:r>
        <w:rPr>
          <w:rFonts w:hint="eastAsia" w:ascii="彩虹粗仿宋" w:hAnsi="宋体" w:eastAsia="彩虹粗仿宋" w:cs="Times New Roman"/>
          <w:snapToGrid w:val="0"/>
          <w:color w:val="auto"/>
          <w:kern w:val="0"/>
          <w:sz w:val="32"/>
          <w:szCs w:val="32"/>
          <w:lang w:eastAsia="zh-CN"/>
        </w:rPr>
        <w:t>内已明确升级开发项目对应</w:t>
      </w:r>
      <w:r>
        <w:rPr>
          <w:rFonts w:hint="eastAsia" w:ascii="彩虹粗仿宋" w:hAnsi="宋体" w:eastAsia="彩虹粗仿宋" w:cs="Times New Roman"/>
          <w:snapToGrid w:val="0"/>
          <w:color w:val="auto"/>
          <w:kern w:val="0"/>
          <w:sz w:val="32"/>
          <w:szCs w:val="32"/>
        </w:rPr>
        <w:t>金额总额的</w:t>
      </w:r>
      <w:r>
        <w:rPr>
          <w:rFonts w:hint="eastAsia" w:ascii="彩虹粗仿宋" w:hAnsi="宋体" w:eastAsia="彩虹粗仿宋" w:cs="Times New Roman"/>
          <w:snapToGrid w:val="0"/>
          <w:color w:val="auto"/>
          <w:kern w:val="0"/>
          <w:sz w:val="32"/>
          <w:szCs w:val="32"/>
          <w:lang w:val="en-US" w:eastAsia="zh-CN"/>
        </w:rPr>
        <w:t>10</w:t>
      </w:r>
      <w:r>
        <w:rPr>
          <w:rFonts w:hint="eastAsia" w:ascii="彩虹粗仿宋" w:hAnsi="宋体" w:eastAsia="彩虹粗仿宋" w:cs="Times New Roman"/>
          <w:snapToGrid w:val="0"/>
          <w:color w:val="auto"/>
          <w:kern w:val="0"/>
          <w:sz w:val="32"/>
          <w:szCs w:val="32"/>
        </w:rPr>
        <w:t>%。</w:t>
      </w:r>
    </w:p>
    <w:p>
      <w:pPr>
        <w:adjustRightInd w:val="0"/>
        <w:snapToGrid w:val="0"/>
        <w:spacing w:line="560" w:lineRule="atLeast"/>
        <w:ind w:firstLine="640" w:firstLineChars="0"/>
        <w:jc w:val="left"/>
        <w:rPr>
          <w:rFonts w:hint="eastAsia" w:ascii="彩虹粗仿宋" w:hAnsi="宋体" w:eastAsia="彩虹粗仿宋" w:cs="Times New Roman"/>
          <w:snapToGrid w:val="0"/>
          <w:color w:val="auto"/>
          <w:kern w:val="0"/>
          <w:sz w:val="32"/>
          <w:szCs w:val="32"/>
        </w:rPr>
      </w:pPr>
      <w:r>
        <w:rPr>
          <w:rFonts w:hint="eastAsia" w:ascii="彩虹粗仿宋" w:hAnsi="宋体" w:eastAsia="彩虹粗仿宋" w:cs="Times New Roman"/>
          <w:snapToGrid w:val="0"/>
          <w:kern w:val="0"/>
          <w:sz w:val="32"/>
          <w:szCs w:val="32"/>
          <w:lang w:val="en-US" w:eastAsia="zh-CN"/>
        </w:rPr>
        <w:t>4</w:t>
      </w:r>
      <w:r>
        <w:rPr>
          <w:rFonts w:hint="eastAsia" w:ascii="彩虹粗仿宋" w:hAnsi="宋体" w:eastAsia="彩虹粗仿宋" w:cs="Times New Roman"/>
          <w:snapToGrid w:val="0"/>
          <w:kern w:val="0"/>
          <w:sz w:val="32"/>
          <w:szCs w:val="32"/>
        </w:rPr>
        <w:t>.</w:t>
      </w:r>
      <w:r>
        <w:rPr>
          <w:rFonts w:hint="eastAsia" w:ascii="彩虹粗仿宋" w:hAnsi="宋体" w:eastAsia="彩虹粗仿宋" w:cs="Times New Roman"/>
          <w:snapToGrid w:val="0"/>
          <w:color w:val="auto"/>
          <w:kern w:val="0"/>
          <w:sz w:val="32"/>
          <w:szCs w:val="32"/>
          <w:lang w:eastAsia="zh-CN"/>
        </w:rPr>
        <w:t>其他</w:t>
      </w:r>
      <w:r>
        <w:rPr>
          <w:rFonts w:hint="eastAsia" w:ascii="彩虹粗仿宋" w:hAnsi="宋体" w:eastAsia="彩虹粗仿宋" w:cs="Times New Roman"/>
          <w:snapToGrid w:val="0"/>
          <w:color w:val="auto"/>
          <w:kern w:val="0"/>
          <w:sz w:val="32"/>
          <w:szCs w:val="32"/>
        </w:rPr>
        <w:t>升级迭代</w:t>
      </w:r>
      <w:r>
        <w:rPr>
          <w:rFonts w:hint="eastAsia" w:ascii="彩虹粗仿宋" w:hAnsi="宋体" w:eastAsia="彩虹粗仿宋" w:cs="Times New Roman"/>
          <w:snapToGrid w:val="0"/>
          <w:color w:val="auto"/>
          <w:kern w:val="0"/>
          <w:sz w:val="32"/>
          <w:szCs w:val="32"/>
          <w:lang w:eastAsia="zh-CN"/>
        </w:rPr>
        <w:t>及定制化</w:t>
      </w:r>
      <w:r>
        <w:rPr>
          <w:rFonts w:hint="eastAsia" w:ascii="彩虹粗仿宋" w:hAnsi="宋体" w:eastAsia="彩虹粗仿宋" w:cs="Times New Roman"/>
          <w:snapToGrid w:val="0"/>
          <w:color w:val="auto"/>
          <w:kern w:val="0"/>
          <w:sz w:val="32"/>
          <w:szCs w:val="32"/>
        </w:rPr>
        <w:t>开发，按实际工作量另计，验收合格后，提交相应金额合法的增值税专用发票后拾个工作日内，支付相应全部款项。</w:t>
      </w:r>
    </w:p>
    <w:p>
      <w:pPr>
        <w:adjustRightInd w:val="0"/>
        <w:snapToGrid w:val="0"/>
        <w:spacing w:line="560" w:lineRule="atLeast"/>
        <w:ind w:firstLine="643" w:firstLineChars="200"/>
        <w:rPr>
          <w:rFonts w:ascii="彩虹粗仿宋" w:hAnsi="宋体" w:eastAsia="彩虹粗仿宋" w:cs="Times New Roman"/>
          <w:b/>
          <w:snapToGrid w:val="0"/>
          <w:kern w:val="0"/>
          <w:sz w:val="32"/>
          <w:szCs w:val="32"/>
        </w:rPr>
      </w:pPr>
      <w:r>
        <w:rPr>
          <w:rFonts w:hint="eastAsia" w:ascii="彩虹粗仿宋" w:hAnsi="宋体" w:eastAsia="彩虹粗仿宋" w:cs="Times New Roman"/>
          <w:b/>
          <w:snapToGrid w:val="0"/>
          <w:kern w:val="0"/>
          <w:sz w:val="32"/>
          <w:szCs w:val="32"/>
        </w:rPr>
        <w:t>（</w:t>
      </w:r>
      <w:r>
        <w:rPr>
          <w:rFonts w:hint="eastAsia" w:ascii="彩虹粗仿宋" w:hAnsi="宋体" w:eastAsia="彩虹粗仿宋" w:cs="Times New Roman"/>
          <w:b/>
          <w:snapToGrid w:val="0"/>
          <w:kern w:val="0"/>
          <w:sz w:val="32"/>
          <w:szCs w:val="32"/>
          <w:lang w:eastAsia="zh-CN"/>
        </w:rPr>
        <w:t>六</w:t>
      </w:r>
      <w:r>
        <w:rPr>
          <w:rFonts w:hint="eastAsia" w:ascii="彩虹粗仿宋" w:hAnsi="宋体" w:eastAsia="彩虹粗仿宋" w:cs="Times New Roman"/>
          <w:b/>
          <w:snapToGrid w:val="0"/>
          <w:kern w:val="0"/>
          <w:sz w:val="32"/>
          <w:szCs w:val="32"/>
        </w:rPr>
        <w:t>）其他要求</w:t>
      </w:r>
    </w:p>
    <w:p>
      <w:pPr>
        <w:adjustRightInd w:val="0"/>
        <w:snapToGrid w:val="0"/>
        <w:spacing w:line="560" w:lineRule="atLeas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原则上入选公司应在我行开立结算帐户，用于商品、服务、工程等款项结算。</w:t>
      </w: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粗仿宋">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褰╄櫣绮椾豢瀹�">
    <w:altName w:val="华文中宋"/>
    <w:panose1 w:val="00000000000000000000"/>
    <w:charset w:val="00"/>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8420" cy="139700"/>
              <wp:effectExtent l="0" t="0" r="11430" b="6350"/>
              <wp:wrapNone/>
              <wp:docPr id="1" name="文本框 1"/>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wps:spPr>
                    <wps:txbx>
                      <w:txbxContent>
                        <w:p>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60288;mso-width-relative:page;mso-height-relative:page;" filled="f" stroked="f" coordsize="21600,21600" o:gfxdata="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O9sZGvRAAAAAgEAAA8AAAAAAAAAAQAgAAAAIgAAAGRycy9kb3ducmV2LnhtbFBLAQIUABQAAAAI&#10;AIdO4kAD09VxLQIAAFIEAAAOAAAAAAAAAAEAIAAAACABAABkcnMvZTJvRG9jLnhtbFBLBQYAAAAA&#10;BgAGAFkBAA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81" w:lineRule="exact"/>
      <w:ind w:firstLine="6430"/>
    </w:pPr>
    <w:r>
      <mc:AlternateContent>
        <mc:Choice Requires="wps">
          <w:drawing>
            <wp:anchor distT="0" distB="0" distL="114300" distR="114300" simplePos="0" relativeHeight="251659264" behindDoc="0" locked="0" layoutInCell="0" allowOverlap="1">
              <wp:simplePos x="0" y="0"/>
              <wp:positionH relativeFrom="page">
                <wp:posOffset>892810</wp:posOffset>
              </wp:positionH>
              <wp:positionV relativeFrom="page">
                <wp:posOffset>810895</wp:posOffset>
              </wp:positionV>
              <wp:extent cx="5888990" cy="9525"/>
              <wp:effectExtent l="0" t="0" r="0" b="9525"/>
              <wp:wrapNone/>
              <wp:docPr id="160061051" name="Rectangle 3"/>
              <wp:cNvGraphicFramePr/>
              <a:graphic xmlns:a="http://schemas.openxmlformats.org/drawingml/2006/main">
                <a:graphicData uri="http://schemas.microsoft.com/office/word/2010/wordprocessingShape">
                  <wps:wsp>
                    <wps:cNvSpPr>
                      <a:spLocks noChangeArrowheads="1"/>
                    </wps:cNvSpPr>
                    <wps:spPr bwMode="auto">
                      <a:xfrm>
                        <a:off x="0" y="0"/>
                        <a:ext cx="5888990" cy="9525"/>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70.3pt;margin-top:63.85pt;height:0.75pt;width:463.7pt;mso-position-horizontal-relative:page;mso-position-vertical-relative:page;z-index:251659264;mso-width-relative:page;mso-height-relative:page;" fillcolor="#000000" filled="t" stroked="f" coordsize="21600,21600" o:allowincell="f" o:gfxdata="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Hy7uxtkAAAAMAQAADwAA&#10;AAAAAAABACAAAAAiAAAAZHJzL2Rvd25yZXYueG1sUEsBAhQAFAAAAAgAh07iQN1rADAVAgAALwQA&#10;AA4AAAAAAAAAAQAgAAAAKAEAAGRycy9lMm9Eb2MueG1sUEsFBgAAAAAGAAYAWQEAAK8FAAAAAA==&#10;">
              <v:fill on="t" focussize="0,0"/>
              <v:stroke on="f"/>
              <v:imagedata o:title=""/>
              <o:lock v:ext="edit" aspectratio="f"/>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7E1EEF"/>
    <w:multiLevelType w:val="singleLevel"/>
    <w:tmpl w:val="FF7E1EEF"/>
    <w:lvl w:ilvl="0" w:tentative="0">
      <w:start w:val="2"/>
      <w:numFmt w:val="chineseCounting"/>
      <w:suff w:val="nothing"/>
      <w:lvlText w:val="（%1）"/>
      <w:lvlJc w:val="left"/>
      <w:rPr>
        <w:rFonts w:hint="eastAsia"/>
      </w:rPr>
    </w:lvl>
  </w:abstractNum>
  <w:abstractNum w:abstractNumId="1">
    <w:nsid w:val="27E0707A"/>
    <w:multiLevelType w:val="multilevel"/>
    <w:tmpl w:val="27E0707A"/>
    <w:lvl w:ilvl="0" w:tentative="0">
      <w:start w:val="1"/>
      <w:numFmt w:val="decimal"/>
      <w:pStyle w:val="2"/>
      <w:lvlText w:val="%1."/>
      <w:lvlJc w:val="left"/>
      <w:pPr>
        <w:tabs>
          <w:tab w:val="left" w:pos="425"/>
        </w:tabs>
        <w:ind w:left="425" w:hanging="425"/>
      </w:pPr>
      <w:rPr>
        <w:rFonts w:hint="eastAsia"/>
      </w:rPr>
    </w:lvl>
    <w:lvl w:ilvl="1" w:tentative="0">
      <w:start w:val="1"/>
      <w:numFmt w:val="decimal"/>
      <w:pStyle w:val="4"/>
      <w:suff w:val="space"/>
      <w:lvlText w:val="%1.%2"/>
      <w:lvlJc w:val="left"/>
      <w:pPr>
        <w:ind w:left="1418" w:hanging="992"/>
      </w:pPr>
      <w:rPr>
        <w:rFonts w:hint="eastAsia"/>
        <w:b/>
      </w:rPr>
    </w:lvl>
    <w:lvl w:ilvl="2" w:tentative="0">
      <w:start w:val="1"/>
      <w:numFmt w:val="decimal"/>
      <w:suff w:val="space"/>
      <w:lvlText w:val="%1.%2.%3"/>
      <w:lvlJc w:val="left"/>
      <w:pPr>
        <w:ind w:left="1021" w:hanging="737"/>
      </w:pPr>
      <w:rPr>
        <w:rFonts w:hint="eastAsia"/>
        <w:b/>
        <w:i w:val="0"/>
        <w:color w:val="auto"/>
      </w:rPr>
    </w:lvl>
    <w:lvl w:ilvl="3" w:tentative="0">
      <w:start w:val="1"/>
      <w:numFmt w:val="decimal"/>
      <w:lvlText w:val="%1.%2.%3.%4"/>
      <w:lvlJc w:val="left"/>
      <w:pPr>
        <w:tabs>
          <w:tab w:val="left" w:pos="2382"/>
        </w:tabs>
        <w:ind w:left="1701" w:firstLine="0"/>
      </w:pPr>
      <w:rPr>
        <w:rFonts w:hint="eastAsia"/>
        <w:b/>
      </w:rPr>
    </w:lvl>
    <w:lvl w:ilvl="4" w:tentative="0">
      <w:start w:val="1"/>
      <w:numFmt w:val="decimal"/>
      <w:lvlText w:val="%1.%2.%3.%4.%5"/>
      <w:lvlJc w:val="left"/>
      <w:pPr>
        <w:tabs>
          <w:tab w:val="left" w:pos="1134"/>
        </w:tabs>
        <w:ind w:left="284" w:firstLine="340"/>
      </w:pPr>
      <w:rPr>
        <w:rFonts w:hint="eastAsia"/>
        <w:b/>
      </w:rPr>
    </w:lvl>
    <w:lvl w:ilvl="5" w:tentative="0">
      <w:start w:val="1"/>
      <w:numFmt w:val="decimal"/>
      <w:lvlText w:val="%1.%2.%3.%4.%5.%6"/>
      <w:lvlJc w:val="left"/>
      <w:pPr>
        <w:tabs>
          <w:tab w:val="left" w:pos="4286"/>
        </w:tabs>
        <w:ind w:left="3260" w:hanging="1134"/>
      </w:pPr>
      <w:rPr>
        <w:rFonts w:hint="eastAsia"/>
      </w:rPr>
    </w:lvl>
    <w:lvl w:ilvl="6" w:tentative="0">
      <w:start w:val="1"/>
      <w:numFmt w:val="decimal"/>
      <w:lvlText w:val="%1.%2.%3.%4.%5.%6.%7"/>
      <w:lvlJc w:val="left"/>
      <w:pPr>
        <w:tabs>
          <w:tab w:val="left" w:pos="5071"/>
        </w:tabs>
        <w:ind w:left="3827" w:hanging="1276"/>
      </w:pPr>
      <w:rPr>
        <w:rFonts w:hint="eastAsia"/>
      </w:rPr>
    </w:lvl>
    <w:lvl w:ilvl="7" w:tentative="0">
      <w:start w:val="1"/>
      <w:numFmt w:val="decimal"/>
      <w:lvlText w:val="%1.%2.%3.%4.%5.%6.%7.%8"/>
      <w:lvlJc w:val="left"/>
      <w:pPr>
        <w:tabs>
          <w:tab w:val="left" w:pos="5856"/>
        </w:tabs>
        <w:ind w:left="4394" w:hanging="1418"/>
      </w:pPr>
      <w:rPr>
        <w:rFonts w:hint="eastAsia"/>
      </w:rPr>
    </w:lvl>
    <w:lvl w:ilvl="8" w:tentative="0">
      <w:start w:val="1"/>
      <w:numFmt w:val="decimal"/>
      <w:lvlText w:val="%1.%2.%3.%4.%5.%6.%7.%8.%9"/>
      <w:lvlJc w:val="left"/>
      <w:pPr>
        <w:tabs>
          <w:tab w:val="left" w:pos="6282"/>
        </w:tabs>
        <w:ind w:left="5102"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kZTE3OWNhYmQ2ODQzOTE4NDUyYWM1M2JkZjk1ZDUifQ=="/>
  </w:docVars>
  <w:rsids>
    <w:rsidRoot w:val="00172A27"/>
    <w:rsid w:val="00153E27"/>
    <w:rsid w:val="00164EF9"/>
    <w:rsid w:val="00382820"/>
    <w:rsid w:val="00432147"/>
    <w:rsid w:val="0056494E"/>
    <w:rsid w:val="005C71FD"/>
    <w:rsid w:val="00721B36"/>
    <w:rsid w:val="00747DA6"/>
    <w:rsid w:val="007E7123"/>
    <w:rsid w:val="00AA2DA3"/>
    <w:rsid w:val="00AD6F70"/>
    <w:rsid w:val="00AF1C12"/>
    <w:rsid w:val="00C9704B"/>
    <w:rsid w:val="00CD2D4D"/>
    <w:rsid w:val="00CF3E2F"/>
    <w:rsid w:val="00F921E3"/>
    <w:rsid w:val="038F32F5"/>
    <w:rsid w:val="08EA11A5"/>
    <w:rsid w:val="0E8F6E00"/>
    <w:rsid w:val="123A52FF"/>
    <w:rsid w:val="1D8E417D"/>
    <w:rsid w:val="1F7F2F42"/>
    <w:rsid w:val="1FEF807A"/>
    <w:rsid w:val="291A7E84"/>
    <w:rsid w:val="2BEBB957"/>
    <w:rsid w:val="2FFD7861"/>
    <w:rsid w:val="303A58D0"/>
    <w:rsid w:val="336D632F"/>
    <w:rsid w:val="3BF06B27"/>
    <w:rsid w:val="3DEE62BF"/>
    <w:rsid w:val="3F471E68"/>
    <w:rsid w:val="40043A41"/>
    <w:rsid w:val="454C6955"/>
    <w:rsid w:val="4A92412F"/>
    <w:rsid w:val="4FBF43A4"/>
    <w:rsid w:val="56174DAE"/>
    <w:rsid w:val="57471EE4"/>
    <w:rsid w:val="586C0428"/>
    <w:rsid w:val="769F59BD"/>
    <w:rsid w:val="77EBC1BE"/>
    <w:rsid w:val="79ADCA9F"/>
    <w:rsid w:val="7EEF9256"/>
    <w:rsid w:val="7FFF82DA"/>
    <w:rsid w:val="B53C5B0F"/>
    <w:rsid w:val="B73CB54C"/>
    <w:rsid w:val="B7AF2A00"/>
    <w:rsid w:val="BFFD1FC2"/>
    <w:rsid w:val="CFE25355"/>
    <w:rsid w:val="D7EBBFD2"/>
    <w:rsid w:val="D7F2B06C"/>
    <w:rsid w:val="D9B65B43"/>
    <w:rsid w:val="E7FE1F52"/>
    <w:rsid w:val="F8574CCD"/>
    <w:rsid w:val="FFFEB5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3"/>
    <w:qFormat/>
    <w:uiPriority w:val="0"/>
    <w:pPr>
      <w:keepNext/>
      <w:keepLines/>
      <w:pageBreakBefore/>
      <w:numPr>
        <w:ilvl w:val="0"/>
        <w:numId w:val="1"/>
      </w:numPr>
      <w:spacing w:before="200" w:beforeLines="200" w:after="100" w:afterLines="100"/>
      <w:outlineLvl w:val="0"/>
    </w:pPr>
    <w:rPr>
      <w:b/>
      <w:kern w:val="28"/>
      <w:sz w:val="36"/>
    </w:rPr>
  </w:style>
  <w:style w:type="paragraph" w:styleId="4">
    <w:name w:val="heading 2"/>
    <w:basedOn w:val="1"/>
    <w:next w:val="3"/>
    <w:qFormat/>
    <w:uiPriority w:val="0"/>
    <w:pPr>
      <w:keepNext/>
      <w:numPr>
        <w:ilvl w:val="1"/>
        <w:numId w:val="1"/>
      </w:numPr>
      <w:spacing w:before="200" w:beforeLines="200" w:after="100" w:afterLines="100"/>
      <w:outlineLvl w:val="1"/>
    </w:pPr>
    <w:rPr>
      <w:b/>
      <w:sz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27"/>
      <w:szCs w:val="27"/>
    </w:rPr>
  </w:style>
  <w:style w:type="paragraph" w:styleId="5">
    <w:name w:val="footer"/>
    <w:basedOn w:val="1"/>
    <w:unhideWhenUsed/>
    <w:qFormat/>
    <w:uiPriority w:val="99"/>
    <w:pPr>
      <w:tabs>
        <w:tab w:val="center" w:pos="4153"/>
        <w:tab w:val="right" w:pos="8306"/>
      </w:tabs>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jc w:val="left"/>
    </w:pPr>
    <w:rPr>
      <w:rFonts w:ascii="宋体" w:hAnsi="宋体" w:eastAsia="宋体" w:cs="宋体"/>
      <w:kern w:val="0"/>
      <w:sz w:val="24"/>
      <w:szCs w:val="24"/>
    </w:rPr>
  </w:style>
  <w:style w:type="table" w:styleId="9">
    <w:name w:val="Table Grid"/>
    <w:basedOn w:val="8"/>
    <w:semiHidden/>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页眉 Char"/>
    <w:basedOn w:val="10"/>
    <w:link w:val="6"/>
    <w:qFormat/>
    <w:uiPriority w:val="99"/>
    <w:rPr>
      <w:rFonts w:asciiTheme="minorHAnsi" w:hAnsiTheme="minorHAnsi" w:eastAsiaTheme="minorEastAsia" w:cstheme="minorBidi"/>
      <w:kern w:val="2"/>
      <w:sz w:val="18"/>
      <w:szCs w:val="18"/>
    </w:rPr>
  </w:style>
  <w:style w:type="paragraph" w:customStyle="1" w:styleId="12">
    <w:name w:val="p0"/>
    <w:basedOn w:val="1"/>
    <w:qFormat/>
    <w:uiPriority w:val="0"/>
    <w:pPr>
      <w:widowControl/>
    </w:pPr>
    <w:rPr>
      <w:kern w:val="0"/>
      <w:szCs w:val="21"/>
    </w:rPr>
  </w:style>
  <w:style w:type="paragraph" w:styleId="13">
    <w:name w:val="List Paragraph"/>
    <w:basedOn w:val="1"/>
    <w:qFormat/>
    <w:uiPriority w:val="34"/>
    <w:pPr>
      <w:ind w:firstLine="420" w:firstLineChars="200"/>
    </w:pPr>
  </w:style>
  <w:style w:type="paragraph" w:customStyle="1" w:styleId="14">
    <w:name w:val="文档正文"/>
    <w:basedOn w:val="1"/>
    <w:qFormat/>
    <w:uiPriority w:val="0"/>
    <w:pPr>
      <w:spacing w:line="360" w:lineRule="auto"/>
      <w:ind w:firstLine="200" w:firstLineChars="200"/>
    </w:pPr>
    <w:rPr>
      <w:rFonts w:eastAsia="彩虹粗仿宋"/>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CCB</Company>
  <Pages>5</Pages>
  <Words>404</Words>
  <Characters>2309</Characters>
  <Lines>19</Lines>
  <Paragraphs>5</Paragraphs>
  <TotalTime>0</TotalTime>
  <ScaleCrop>false</ScaleCrop>
  <LinksUpToDate>false</LinksUpToDate>
  <CharactersWithSpaces>2708</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2024-05-21T03:03:00Z</dcterms:created>
  <dc:creator>Apache POI</dc:creator>
  <cp:lastModifiedBy>Administrator</cp:lastModifiedBy>
  <dcterms:modified xsi:type="dcterms:W3CDTF">2025-04-29T01:35:01Z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88DD91A09B3E1E926D3EF76761E7D9F5_43</vt:lpwstr>
  </property>
</Properties>
</file>