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FC" w:rsidRDefault="00BB3BFC">
      <w:pPr>
        <w:adjustRightInd w:val="0"/>
        <w:snapToGrid w:val="0"/>
        <w:spacing w:line="360" w:lineRule="auto"/>
        <w:jc w:val="center"/>
        <w:rPr>
          <w:rFonts w:ascii="彩虹粗仿宋" w:eastAsia="彩虹粗仿宋" w:hAnsi="宋体" w:cs="Arial"/>
          <w:kern w:val="0"/>
          <w:sz w:val="24"/>
        </w:rPr>
      </w:pPr>
    </w:p>
    <w:p w:rsidR="00BB3BFC" w:rsidRDefault="00BB3BFC">
      <w:pPr>
        <w:adjustRightInd w:val="0"/>
        <w:snapToGrid w:val="0"/>
        <w:spacing w:line="360" w:lineRule="auto"/>
        <w:jc w:val="center"/>
        <w:rPr>
          <w:rFonts w:ascii="彩虹粗仿宋" w:eastAsia="彩虹粗仿宋" w:hAnsi="宋体" w:cs="Arial"/>
          <w:kern w:val="0"/>
          <w:sz w:val="24"/>
        </w:rPr>
      </w:pPr>
    </w:p>
    <w:p w:rsidR="00BB3BFC" w:rsidRDefault="00BB3BFC">
      <w:pPr>
        <w:adjustRightInd w:val="0"/>
        <w:snapToGrid w:val="0"/>
        <w:spacing w:line="360" w:lineRule="auto"/>
        <w:jc w:val="center"/>
        <w:rPr>
          <w:rFonts w:ascii="彩虹粗仿宋" w:eastAsia="彩虹粗仿宋" w:hAnsi="宋体" w:cs="Arial"/>
          <w:kern w:val="0"/>
          <w:sz w:val="24"/>
        </w:rPr>
      </w:pPr>
    </w:p>
    <w:p w:rsidR="00BB3BFC" w:rsidRDefault="00934BC8">
      <w:pPr>
        <w:adjustRightInd w:val="0"/>
        <w:snapToGrid w:val="0"/>
        <w:spacing w:line="360" w:lineRule="auto"/>
        <w:jc w:val="center"/>
        <w:rPr>
          <w:rFonts w:ascii="彩虹粗仿宋" w:eastAsia="彩虹粗仿宋" w:hAnsi="宋体" w:cs="Arial"/>
          <w:b/>
          <w:sz w:val="44"/>
        </w:rPr>
      </w:pPr>
      <w:r>
        <w:rPr>
          <w:rFonts w:ascii="彩虹粗仿宋" w:eastAsia="彩虹粗仿宋" w:hAnsi="宋体" w:cs="Arial" w:hint="eastAsia"/>
          <w:b/>
          <w:sz w:val="44"/>
        </w:rPr>
        <w:t>信澳鑫泰6</w:t>
      </w:r>
      <w:r w:rsidR="00D4042B">
        <w:rPr>
          <w:rFonts w:ascii="彩虹粗仿宋" w:eastAsia="彩虹粗仿宋" w:hAnsi="宋体" w:cs="Arial" w:hint="eastAsia"/>
          <w:b/>
          <w:sz w:val="44"/>
        </w:rPr>
        <w:t>个月持有期债券型证券投资基金托管协议</w:t>
      </w:r>
    </w:p>
    <w:p w:rsidR="00BB3BFC" w:rsidRDefault="00BB3BFC">
      <w:pPr>
        <w:adjustRightInd w:val="0"/>
        <w:snapToGrid w:val="0"/>
        <w:spacing w:line="360" w:lineRule="auto"/>
        <w:jc w:val="center"/>
        <w:rPr>
          <w:rFonts w:ascii="彩虹粗仿宋" w:eastAsia="彩虹粗仿宋" w:hAnsi="宋体" w:cs="Arial"/>
          <w:b/>
          <w:sz w:val="44"/>
        </w:rPr>
      </w:pPr>
    </w:p>
    <w:p w:rsidR="00BB3BFC" w:rsidRPr="00D4042B" w:rsidRDefault="00BB3BFC">
      <w:pPr>
        <w:adjustRightInd w:val="0"/>
        <w:snapToGrid w:val="0"/>
        <w:spacing w:line="360" w:lineRule="auto"/>
        <w:jc w:val="center"/>
        <w:rPr>
          <w:rFonts w:ascii="彩虹粗仿宋" w:eastAsia="彩虹粗仿宋" w:hAnsi="宋体" w:cs="Arial"/>
          <w:kern w:val="0"/>
          <w:sz w:val="28"/>
        </w:rPr>
      </w:pPr>
    </w:p>
    <w:p w:rsidR="00BB3BFC" w:rsidRDefault="00BB3BFC" w:rsidP="00D4042B">
      <w:pPr>
        <w:adjustRightInd w:val="0"/>
        <w:snapToGrid w:val="0"/>
        <w:spacing w:line="360" w:lineRule="auto"/>
        <w:rPr>
          <w:rFonts w:ascii="彩虹粗仿宋" w:eastAsia="彩虹粗仿宋" w:hAnsi="宋体" w:cs="Arial"/>
          <w:kern w:val="0"/>
          <w:sz w:val="28"/>
        </w:rPr>
      </w:pPr>
    </w:p>
    <w:p w:rsidR="00BB3BFC" w:rsidRDefault="00BB3BFC">
      <w:pPr>
        <w:adjustRightInd w:val="0"/>
        <w:snapToGrid w:val="0"/>
        <w:spacing w:line="360" w:lineRule="auto"/>
        <w:jc w:val="center"/>
        <w:rPr>
          <w:rFonts w:ascii="彩虹粗仿宋" w:eastAsia="彩虹粗仿宋" w:hAnsi="宋体" w:cs="Arial"/>
          <w:kern w:val="0"/>
          <w:sz w:val="28"/>
        </w:rPr>
      </w:pPr>
    </w:p>
    <w:p w:rsidR="00BB3BFC" w:rsidRDefault="00BB3BFC">
      <w:pPr>
        <w:adjustRightInd w:val="0"/>
        <w:snapToGrid w:val="0"/>
        <w:spacing w:line="360" w:lineRule="auto"/>
        <w:jc w:val="center"/>
        <w:rPr>
          <w:rFonts w:ascii="彩虹粗仿宋" w:eastAsia="彩虹粗仿宋" w:hAnsi="宋体" w:cs="Arial"/>
          <w:kern w:val="0"/>
          <w:sz w:val="28"/>
        </w:rPr>
      </w:pPr>
    </w:p>
    <w:p w:rsidR="00BB3BFC" w:rsidRDefault="00BB3BFC">
      <w:pPr>
        <w:adjustRightInd w:val="0"/>
        <w:snapToGrid w:val="0"/>
        <w:spacing w:line="360" w:lineRule="auto"/>
        <w:jc w:val="center"/>
        <w:rPr>
          <w:rFonts w:ascii="彩虹粗仿宋" w:eastAsia="彩虹粗仿宋" w:hAnsi="宋体" w:cs="Arial"/>
          <w:kern w:val="0"/>
          <w:sz w:val="28"/>
        </w:rPr>
      </w:pPr>
    </w:p>
    <w:p w:rsidR="00BB3BFC" w:rsidRDefault="00934BC8">
      <w:pPr>
        <w:adjustRightInd w:val="0"/>
        <w:snapToGrid w:val="0"/>
        <w:spacing w:line="360" w:lineRule="auto"/>
        <w:jc w:val="center"/>
        <w:rPr>
          <w:rFonts w:ascii="彩虹粗仿宋" w:eastAsia="彩虹粗仿宋" w:hAnsi="宋体" w:cs="Arial"/>
          <w:b/>
          <w:kern w:val="0"/>
          <w:sz w:val="28"/>
        </w:rPr>
      </w:pPr>
      <w:r>
        <w:rPr>
          <w:rFonts w:ascii="彩虹粗仿宋" w:eastAsia="彩虹粗仿宋" w:hAnsi="宋体" w:cs="Arial" w:hint="eastAsia"/>
          <w:b/>
          <w:bCs/>
          <w:sz w:val="28"/>
        </w:rPr>
        <w:t xml:space="preserve">  </w:t>
      </w:r>
      <w:r>
        <w:rPr>
          <w:rFonts w:ascii="彩虹粗仿宋" w:eastAsia="彩虹粗仿宋" w:hAnsi="宋体" w:cs="Arial"/>
          <w:b/>
          <w:kern w:val="0"/>
          <w:sz w:val="28"/>
        </w:rPr>
        <w:t xml:space="preserve">  基金管理人：</w:t>
      </w:r>
      <w:r>
        <w:rPr>
          <w:rFonts w:ascii="彩虹粗仿宋" w:eastAsia="彩虹粗仿宋" w:hAnsi="宋体" w:cs="Arial" w:hint="eastAsia"/>
          <w:b/>
          <w:kern w:val="0"/>
          <w:sz w:val="28"/>
        </w:rPr>
        <w:t>信达澳亚基金管理有限公司</w:t>
      </w:r>
    </w:p>
    <w:p w:rsidR="00BB3BFC" w:rsidRDefault="00934BC8">
      <w:pPr>
        <w:adjustRightInd w:val="0"/>
        <w:snapToGrid w:val="0"/>
        <w:spacing w:line="360" w:lineRule="auto"/>
        <w:jc w:val="center"/>
        <w:rPr>
          <w:rFonts w:ascii="彩虹粗仿宋" w:eastAsia="彩虹粗仿宋" w:hAnsi="宋体" w:cs="Arial"/>
          <w:b/>
          <w:kern w:val="0"/>
          <w:sz w:val="28"/>
        </w:rPr>
      </w:pPr>
      <w:r>
        <w:rPr>
          <w:rFonts w:ascii="彩虹粗仿宋" w:eastAsia="彩虹粗仿宋" w:hAnsi="宋体" w:cs="Arial"/>
          <w:b/>
          <w:kern w:val="0"/>
          <w:sz w:val="28"/>
        </w:rPr>
        <w:t xml:space="preserve">    基金托管人：中国建设银行股份有限公司</w:t>
      </w:r>
    </w:p>
    <w:p w:rsidR="00BB3BFC" w:rsidRDefault="00BB3BFC">
      <w:pPr>
        <w:adjustRightInd w:val="0"/>
        <w:snapToGrid w:val="0"/>
        <w:spacing w:line="360" w:lineRule="auto"/>
        <w:jc w:val="center"/>
        <w:rPr>
          <w:rFonts w:ascii="彩虹粗仿宋" w:eastAsia="彩虹粗仿宋" w:hAnsi="宋体" w:cs="Arial"/>
          <w:sz w:val="28"/>
        </w:rPr>
      </w:pPr>
    </w:p>
    <w:p w:rsidR="00BB3BFC" w:rsidRDefault="00BB3BFC">
      <w:pPr>
        <w:adjustRightInd w:val="0"/>
        <w:snapToGrid w:val="0"/>
        <w:spacing w:line="360" w:lineRule="auto"/>
        <w:jc w:val="center"/>
        <w:rPr>
          <w:rFonts w:ascii="彩虹粗仿宋" w:eastAsia="彩虹粗仿宋" w:hAnsi="宋体" w:cs="Arial"/>
          <w:kern w:val="0"/>
          <w:sz w:val="28"/>
        </w:rPr>
      </w:pPr>
    </w:p>
    <w:p w:rsidR="00BB3BFC" w:rsidRDefault="00BB3BFC">
      <w:pPr>
        <w:adjustRightInd w:val="0"/>
        <w:snapToGrid w:val="0"/>
        <w:spacing w:line="360" w:lineRule="auto"/>
        <w:jc w:val="center"/>
        <w:rPr>
          <w:rFonts w:ascii="彩虹粗仿宋" w:eastAsia="彩虹粗仿宋" w:hAnsi="宋体" w:cs="Arial"/>
          <w:kern w:val="0"/>
          <w:sz w:val="28"/>
        </w:rPr>
      </w:pPr>
    </w:p>
    <w:p w:rsidR="00BB3BFC" w:rsidRDefault="00934BC8">
      <w:pPr>
        <w:adjustRightInd w:val="0"/>
        <w:snapToGrid w:val="0"/>
        <w:spacing w:line="360" w:lineRule="auto"/>
        <w:jc w:val="center"/>
        <w:rPr>
          <w:rFonts w:ascii="彩虹粗仿宋" w:eastAsia="彩虹粗仿宋" w:hAnsi="宋体" w:cs="Arial"/>
          <w:kern w:val="0"/>
          <w:sz w:val="28"/>
        </w:rPr>
        <w:sectPr w:rsidR="00BB3BFC">
          <w:footerReference w:type="even" r:id="rId6"/>
          <w:footerReference w:type="default" r:id="rId7"/>
          <w:pgSz w:w="11906" w:h="16838"/>
          <w:pgMar w:top="1418" w:right="1701" w:bottom="1418" w:left="1701" w:header="851" w:footer="992" w:gutter="0"/>
          <w:cols w:space="720"/>
          <w:docGrid w:type="lines" w:linePitch="312"/>
        </w:sectPr>
      </w:pPr>
      <w:r>
        <w:rPr>
          <w:rFonts w:ascii="彩虹粗仿宋" w:eastAsia="彩虹粗仿宋" w:hAnsi="宋体" w:cs="Arial"/>
          <w:kern w:val="0"/>
          <w:sz w:val="28"/>
        </w:rPr>
        <w:t xml:space="preserve"> </w:t>
      </w:r>
      <w:r w:rsidR="00D4042B">
        <w:rPr>
          <w:rFonts w:ascii="彩虹粗仿宋" w:eastAsia="彩虹粗仿宋" w:hAnsi="宋体" w:cs="Arial" w:hint="eastAsia"/>
          <w:kern w:val="0"/>
          <w:sz w:val="28"/>
        </w:rPr>
        <w:t>二零二四</w:t>
      </w:r>
      <w:r>
        <w:rPr>
          <w:rFonts w:ascii="彩虹粗仿宋" w:eastAsia="彩虹粗仿宋" w:hAnsi="宋体" w:cs="Arial" w:hint="eastAsia"/>
          <w:kern w:val="0"/>
          <w:sz w:val="28"/>
        </w:rPr>
        <w:t>年</w:t>
      </w:r>
      <w:r w:rsidR="0039091F">
        <w:rPr>
          <w:rFonts w:ascii="彩虹粗仿宋" w:eastAsia="彩虹粗仿宋" w:hAnsi="宋体" w:cs="Arial" w:hint="eastAsia"/>
          <w:kern w:val="0"/>
          <w:sz w:val="28"/>
        </w:rPr>
        <w:t>五</w:t>
      </w:r>
      <w:r>
        <w:rPr>
          <w:rFonts w:ascii="彩虹粗仿宋" w:eastAsia="彩虹粗仿宋" w:hAnsi="宋体" w:cs="Arial" w:hint="eastAsia"/>
          <w:kern w:val="0"/>
          <w:sz w:val="28"/>
        </w:rPr>
        <w:t>月</w:t>
      </w:r>
    </w:p>
    <w:p w:rsidR="00BB3BFC" w:rsidRDefault="00934BC8">
      <w:pPr>
        <w:spacing w:line="360" w:lineRule="auto"/>
        <w:jc w:val="center"/>
        <w:rPr>
          <w:rFonts w:ascii="彩虹粗仿宋" w:eastAsia="彩虹粗仿宋"/>
          <w:b/>
          <w:bCs/>
          <w:sz w:val="30"/>
        </w:rPr>
      </w:pPr>
      <w:r>
        <w:rPr>
          <w:rFonts w:ascii="彩虹粗仿宋" w:eastAsia="彩虹粗仿宋" w:hint="eastAsia"/>
          <w:b/>
          <w:bCs/>
          <w:sz w:val="30"/>
        </w:rPr>
        <w:lastRenderedPageBreak/>
        <w:t>目    录</w:t>
      </w:r>
    </w:p>
    <w:p w:rsidR="00BB3BFC" w:rsidRDefault="00934BC8">
      <w:pPr>
        <w:pStyle w:val="20"/>
        <w:tabs>
          <w:tab w:val="right" w:leader="dot" w:pos="8306"/>
        </w:tabs>
      </w:pPr>
      <w:r>
        <w:rPr>
          <w:rFonts w:ascii="彩虹粗仿宋" w:eastAsia="彩虹粗仿宋" w:hAnsi="宋体" w:hint="eastAsia"/>
          <w:sz w:val="28"/>
          <w:szCs w:val="28"/>
        </w:rPr>
        <w:fldChar w:fldCharType="begin"/>
      </w:r>
      <w:r>
        <w:rPr>
          <w:rFonts w:ascii="彩虹粗仿宋" w:eastAsia="彩虹粗仿宋" w:hAnsi="宋体" w:hint="eastAsia"/>
          <w:sz w:val="28"/>
          <w:szCs w:val="28"/>
        </w:rPr>
        <w:instrText xml:space="preserve"> TOC \o "1-2" \h \z </w:instrText>
      </w:r>
      <w:r>
        <w:rPr>
          <w:rFonts w:ascii="彩虹粗仿宋" w:eastAsia="彩虹粗仿宋" w:hAnsi="宋体" w:hint="eastAsia"/>
          <w:sz w:val="28"/>
          <w:szCs w:val="28"/>
        </w:rPr>
        <w:fldChar w:fldCharType="separate"/>
      </w:r>
      <w:hyperlink w:anchor="_Toc10194" w:history="1">
        <w:r>
          <w:rPr>
            <w:rFonts w:ascii="彩虹粗仿宋" w:eastAsia="彩虹粗仿宋" w:hint="eastAsia"/>
          </w:rPr>
          <w:t>一、基金托管协议当事人</w:t>
        </w:r>
        <w:r>
          <w:tab/>
        </w:r>
        <w:r>
          <w:fldChar w:fldCharType="begin"/>
        </w:r>
        <w:r>
          <w:instrText xml:space="preserve"> PAGEREF _Toc10194 \h </w:instrText>
        </w:r>
        <w:r>
          <w:fldChar w:fldCharType="separate"/>
        </w:r>
        <w:r w:rsidR="00047D1E">
          <w:rPr>
            <w:noProof/>
          </w:rPr>
          <w:t>3</w:t>
        </w:r>
        <w:r>
          <w:fldChar w:fldCharType="end"/>
        </w:r>
      </w:hyperlink>
    </w:p>
    <w:p w:rsidR="00BB3BFC" w:rsidRDefault="00131F85">
      <w:pPr>
        <w:pStyle w:val="20"/>
        <w:tabs>
          <w:tab w:val="right" w:leader="dot" w:pos="8306"/>
        </w:tabs>
      </w:pPr>
      <w:hyperlink w:anchor="_Toc10833" w:history="1">
        <w:r w:rsidR="00934BC8">
          <w:rPr>
            <w:rFonts w:ascii="彩虹粗仿宋" w:eastAsia="彩虹粗仿宋" w:hint="eastAsia"/>
          </w:rPr>
          <w:t>二、基金托管协议的依据、目的和原则</w:t>
        </w:r>
        <w:r w:rsidR="00934BC8">
          <w:tab/>
        </w:r>
        <w:r w:rsidR="00934BC8">
          <w:fldChar w:fldCharType="begin"/>
        </w:r>
        <w:r w:rsidR="00934BC8">
          <w:instrText xml:space="preserve"> PAGEREF _Toc10833 \h </w:instrText>
        </w:r>
        <w:r w:rsidR="00934BC8">
          <w:fldChar w:fldCharType="separate"/>
        </w:r>
        <w:r w:rsidR="00047D1E">
          <w:rPr>
            <w:noProof/>
          </w:rPr>
          <w:t>5</w:t>
        </w:r>
        <w:r w:rsidR="00934BC8">
          <w:fldChar w:fldCharType="end"/>
        </w:r>
      </w:hyperlink>
    </w:p>
    <w:p w:rsidR="00BB3BFC" w:rsidRDefault="00131F85">
      <w:pPr>
        <w:pStyle w:val="20"/>
        <w:tabs>
          <w:tab w:val="right" w:leader="dot" w:pos="8306"/>
        </w:tabs>
      </w:pPr>
      <w:hyperlink w:anchor="_Toc15774" w:history="1">
        <w:r w:rsidR="00934BC8">
          <w:rPr>
            <w:rFonts w:ascii="彩虹粗仿宋" w:eastAsia="彩虹粗仿宋" w:hint="eastAsia"/>
          </w:rPr>
          <w:t>三、基金托管人对基金管理人的业务监督和核查</w:t>
        </w:r>
        <w:r w:rsidR="00934BC8">
          <w:tab/>
        </w:r>
        <w:r w:rsidR="00934BC8">
          <w:fldChar w:fldCharType="begin"/>
        </w:r>
        <w:r w:rsidR="00934BC8">
          <w:instrText xml:space="preserve"> PAGEREF _Toc15774 \h </w:instrText>
        </w:r>
        <w:r w:rsidR="00934BC8">
          <w:fldChar w:fldCharType="separate"/>
        </w:r>
        <w:r w:rsidR="00047D1E">
          <w:rPr>
            <w:noProof/>
          </w:rPr>
          <w:t>5</w:t>
        </w:r>
        <w:r w:rsidR="00934BC8">
          <w:fldChar w:fldCharType="end"/>
        </w:r>
      </w:hyperlink>
    </w:p>
    <w:p w:rsidR="00BB3BFC" w:rsidRDefault="00131F85">
      <w:pPr>
        <w:pStyle w:val="20"/>
        <w:tabs>
          <w:tab w:val="right" w:leader="dot" w:pos="8306"/>
        </w:tabs>
      </w:pPr>
      <w:hyperlink w:anchor="_Toc4623" w:history="1">
        <w:r w:rsidR="00934BC8">
          <w:rPr>
            <w:rFonts w:ascii="彩虹粗仿宋" w:eastAsia="彩虹粗仿宋" w:hint="eastAsia"/>
          </w:rPr>
          <w:t>四、基金管理人对基金托管人的业务核查</w:t>
        </w:r>
        <w:r w:rsidR="00934BC8">
          <w:tab/>
        </w:r>
        <w:r w:rsidR="00934BC8">
          <w:fldChar w:fldCharType="begin"/>
        </w:r>
        <w:r w:rsidR="00934BC8">
          <w:instrText xml:space="preserve"> PAGEREF _Toc4623 \h </w:instrText>
        </w:r>
        <w:r w:rsidR="00934BC8">
          <w:fldChar w:fldCharType="separate"/>
        </w:r>
        <w:r w:rsidR="00047D1E">
          <w:rPr>
            <w:noProof/>
          </w:rPr>
          <w:t>13</w:t>
        </w:r>
        <w:r w:rsidR="00934BC8">
          <w:fldChar w:fldCharType="end"/>
        </w:r>
      </w:hyperlink>
    </w:p>
    <w:p w:rsidR="00BB3BFC" w:rsidRDefault="00131F85">
      <w:pPr>
        <w:pStyle w:val="20"/>
        <w:tabs>
          <w:tab w:val="right" w:leader="dot" w:pos="8306"/>
        </w:tabs>
      </w:pPr>
      <w:hyperlink w:anchor="_Toc3490" w:history="1">
        <w:r w:rsidR="00934BC8">
          <w:rPr>
            <w:rFonts w:ascii="彩虹粗仿宋" w:eastAsia="彩虹粗仿宋" w:hint="eastAsia"/>
          </w:rPr>
          <w:t>五、基金财产的保管</w:t>
        </w:r>
        <w:r w:rsidR="00934BC8">
          <w:tab/>
        </w:r>
        <w:r w:rsidR="00934BC8">
          <w:fldChar w:fldCharType="begin"/>
        </w:r>
        <w:r w:rsidR="00934BC8">
          <w:instrText xml:space="preserve"> PAGEREF _Toc3490 \h </w:instrText>
        </w:r>
        <w:r w:rsidR="00934BC8">
          <w:fldChar w:fldCharType="separate"/>
        </w:r>
        <w:r w:rsidR="00047D1E">
          <w:rPr>
            <w:noProof/>
          </w:rPr>
          <w:t>14</w:t>
        </w:r>
        <w:r w:rsidR="00934BC8">
          <w:fldChar w:fldCharType="end"/>
        </w:r>
      </w:hyperlink>
    </w:p>
    <w:p w:rsidR="00BB3BFC" w:rsidRDefault="00131F85">
      <w:pPr>
        <w:pStyle w:val="20"/>
        <w:tabs>
          <w:tab w:val="right" w:leader="dot" w:pos="8306"/>
        </w:tabs>
      </w:pPr>
      <w:hyperlink w:anchor="_Toc1124" w:history="1">
        <w:r w:rsidR="00934BC8">
          <w:rPr>
            <w:rFonts w:ascii="彩虹粗仿宋" w:eastAsia="彩虹粗仿宋" w:hint="eastAsia"/>
          </w:rPr>
          <w:t>六、指令的发送、确认及执行</w:t>
        </w:r>
        <w:r w:rsidR="00934BC8">
          <w:tab/>
        </w:r>
        <w:r w:rsidR="00934BC8">
          <w:fldChar w:fldCharType="begin"/>
        </w:r>
        <w:r w:rsidR="00934BC8">
          <w:instrText xml:space="preserve"> PAGEREF _Toc1124 \h </w:instrText>
        </w:r>
        <w:r w:rsidR="00934BC8">
          <w:fldChar w:fldCharType="separate"/>
        </w:r>
        <w:r w:rsidR="00047D1E">
          <w:rPr>
            <w:noProof/>
          </w:rPr>
          <w:t>18</w:t>
        </w:r>
        <w:r w:rsidR="00934BC8">
          <w:fldChar w:fldCharType="end"/>
        </w:r>
      </w:hyperlink>
    </w:p>
    <w:p w:rsidR="00BB3BFC" w:rsidRDefault="00131F85">
      <w:pPr>
        <w:pStyle w:val="20"/>
        <w:tabs>
          <w:tab w:val="right" w:leader="dot" w:pos="8306"/>
        </w:tabs>
      </w:pPr>
      <w:hyperlink w:anchor="_Toc10014" w:history="1">
        <w:r w:rsidR="00934BC8">
          <w:rPr>
            <w:rFonts w:ascii="彩虹粗仿宋" w:eastAsia="彩虹粗仿宋" w:hint="eastAsia"/>
          </w:rPr>
          <w:t>七、交易及清算交收安排</w:t>
        </w:r>
        <w:r w:rsidR="00934BC8">
          <w:tab/>
        </w:r>
        <w:r w:rsidR="00934BC8">
          <w:fldChar w:fldCharType="begin"/>
        </w:r>
        <w:r w:rsidR="00934BC8">
          <w:instrText xml:space="preserve"> PAGEREF _Toc10014 \h </w:instrText>
        </w:r>
        <w:r w:rsidR="00934BC8">
          <w:fldChar w:fldCharType="separate"/>
        </w:r>
        <w:r w:rsidR="00047D1E">
          <w:rPr>
            <w:noProof/>
          </w:rPr>
          <w:t>21</w:t>
        </w:r>
        <w:r w:rsidR="00934BC8">
          <w:fldChar w:fldCharType="end"/>
        </w:r>
      </w:hyperlink>
    </w:p>
    <w:p w:rsidR="00BB3BFC" w:rsidRDefault="00131F85">
      <w:pPr>
        <w:pStyle w:val="20"/>
        <w:tabs>
          <w:tab w:val="right" w:leader="dot" w:pos="8306"/>
        </w:tabs>
      </w:pPr>
      <w:hyperlink w:anchor="_Toc8092" w:history="1">
        <w:r w:rsidR="00934BC8">
          <w:rPr>
            <w:rFonts w:ascii="彩虹粗仿宋" w:eastAsia="彩虹粗仿宋" w:hint="eastAsia"/>
          </w:rPr>
          <w:t>八、基金资产净值计算和会计核算</w:t>
        </w:r>
        <w:r w:rsidR="00934BC8">
          <w:tab/>
        </w:r>
        <w:r w:rsidR="00934BC8">
          <w:fldChar w:fldCharType="begin"/>
        </w:r>
        <w:r w:rsidR="00934BC8">
          <w:instrText xml:space="preserve"> PAGEREF _Toc8092 \h </w:instrText>
        </w:r>
        <w:r w:rsidR="00934BC8">
          <w:fldChar w:fldCharType="separate"/>
        </w:r>
        <w:r w:rsidR="00047D1E">
          <w:rPr>
            <w:noProof/>
          </w:rPr>
          <w:t>29</w:t>
        </w:r>
        <w:r w:rsidR="00934BC8">
          <w:fldChar w:fldCharType="end"/>
        </w:r>
      </w:hyperlink>
    </w:p>
    <w:p w:rsidR="00BB3BFC" w:rsidRDefault="00131F85">
      <w:pPr>
        <w:pStyle w:val="20"/>
        <w:tabs>
          <w:tab w:val="right" w:leader="dot" w:pos="8306"/>
        </w:tabs>
      </w:pPr>
      <w:hyperlink w:anchor="_Toc29458" w:history="1">
        <w:r w:rsidR="00934BC8">
          <w:rPr>
            <w:rFonts w:ascii="彩虹粗仿宋" w:eastAsia="彩虹粗仿宋" w:hint="eastAsia"/>
          </w:rPr>
          <w:t>九、基金收益分配</w:t>
        </w:r>
        <w:r w:rsidR="00934BC8">
          <w:tab/>
        </w:r>
        <w:r w:rsidR="00934BC8">
          <w:fldChar w:fldCharType="begin"/>
        </w:r>
        <w:r w:rsidR="00934BC8">
          <w:instrText xml:space="preserve"> PAGEREF _Toc29458 \h </w:instrText>
        </w:r>
        <w:r w:rsidR="00934BC8">
          <w:fldChar w:fldCharType="separate"/>
        </w:r>
        <w:r w:rsidR="00047D1E">
          <w:rPr>
            <w:noProof/>
          </w:rPr>
          <w:t>36</w:t>
        </w:r>
        <w:r w:rsidR="00934BC8">
          <w:fldChar w:fldCharType="end"/>
        </w:r>
      </w:hyperlink>
    </w:p>
    <w:p w:rsidR="00BB3BFC" w:rsidRDefault="00131F85">
      <w:pPr>
        <w:pStyle w:val="20"/>
        <w:tabs>
          <w:tab w:val="right" w:leader="dot" w:pos="8306"/>
        </w:tabs>
      </w:pPr>
      <w:hyperlink w:anchor="_Toc25873" w:history="1">
        <w:r w:rsidR="00934BC8">
          <w:rPr>
            <w:rFonts w:ascii="彩虹粗仿宋" w:eastAsia="彩虹粗仿宋" w:hint="eastAsia"/>
          </w:rPr>
          <w:t>十、基金信息披露</w:t>
        </w:r>
        <w:r w:rsidR="00934BC8">
          <w:tab/>
        </w:r>
        <w:r w:rsidR="00934BC8">
          <w:fldChar w:fldCharType="begin"/>
        </w:r>
        <w:r w:rsidR="00934BC8">
          <w:instrText xml:space="preserve"> PAGEREF _Toc25873 \h </w:instrText>
        </w:r>
        <w:r w:rsidR="00934BC8">
          <w:fldChar w:fldCharType="separate"/>
        </w:r>
        <w:r w:rsidR="00047D1E">
          <w:rPr>
            <w:noProof/>
          </w:rPr>
          <w:t>38</w:t>
        </w:r>
        <w:r w:rsidR="00934BC8">
          <w:fldChar w:fldCharType="end"/>
        </w:r>
      </w:hyperlink>
    </w:p>
    <w:p w:rsidR="00BB3BFC" w:rsidRDefault="00131F85">
      <w:pPr>
        <w:pStyle w:val="20"/>
        <w:tabs>
          <w:tab w:val="right" w:leader="dot" w:pos="8306"/>
        </w:tabs>
      </w:pPr>
      <w:hyperlink w:anchor="_Toc8284" w:history="1">
        <w:r w:rsidR="00934BC8">
          <w:rPr>
            <w:rFonts w:ascii="彩虹粗仿宋" w:eastAsia="彩虹粗仿宋" w:hint="eastAsia"/>
          </w:rPr>
          <w:t>十一、基金费用</w:t>
        </w:r>
        <w:r w:rsidR="00934BC8">
          <w:tab/>
        </w:r>
        <w:r w:rsidR="00934BC8">
          <w:fldChar w:fldCharType="begin"/>
        </w:r>
        <w:r w:rsidR="00934BC8">
          <w:instrText xml:space="preserve"> PAGEREF _Toc8284 \h </w:instrText>
        </w:r>
        <w:r w:rsidR="00934BC8">
          <w:fldChar w:fldCharType="separate"/>
        </w:r>
        <w:r w:rsidR="00047D1E">
          <w:rPr>
            <w:noProof/>
          </w:rPr>
          <w:t>40</w:t>
        </w:r>
        <w:r w:rsidR="00934BC8">
          <w:fldChar w:fldCharType="end"/>
        </w:r>
      </w:hyperlink>
    </w:p>
    <w:p w:rsidR="00BB3BFC" w:rsidRDefault="00131F85">
      <w:pPr>
        <w:pStyle w:val="20"/>
        <w:tabs>
          <w:tab w:val="right" w:leader="dot" w:pos="8306"/>
        </w:tabs>
      </w:pPr>
      <w:hyperlink w:anchor="_Toc30550" w:history="1">
        <w:r w:rsidR="00934BC8">
          <w:rPr>
            <w:rFonts w:ascii="彩虹粗仿宋" w:eastAsia="彩虹粗仿宋" w:hint="eastAsia"/>
          </w:rPr>
          <w:t>十二、基金份额持有人名册的保管</w:t>
        </w:r>
        <w:r w:rsidR="00934BC8">
          <w:tab/>
        </w:r>
        <w:r w:rsidR="00934BC8">
          <w:fldChar w:fldCharType="begin"/>
        </w:r>
        <w:r w:rsidR="00934BC8">
          <w:instrText xml:space="preserve"> PAGEREF _Toc30550 \h </w:instrText>
        </w:r>
        <w:r w:rsidR="00934BC8">
          <w:fldChar w:fldCharType="separate"/>
        </w:r>
        <w:r w:rsidR="00047D1E">
          <w:rPr>
            <w:noProof/>
          </w:rPr>
          <w:t>43</w:t>
        </w:r>
        <w:r w:rsidR="00934BC8">
          <w:fldChar w:fldCharType="end"/>
        </w:r>
      </w:hyperlink>
    </w:p>
    <w:p w:rsidR="00BB3BFC" w:rsidRDefault="00131F85">
      <w:pPr>
        <w:pStyle w:val="20"/>
        <w:tabs>
          <w:tab w:val="right" w:leader="dot" w:pos="8306"/>
        </w:tabs>
      </w:pPr>
      <w:hyperlink w:anchor="_Toc25035" w:history="1">
        <w:r w:rsidR="00934BC8">
          <w:rPr>
            <w:rFonts w:ascii="彩虹粗仿宋" w:eastAsia="彩虹粗仿宋" w:hint="eastAsia"/>
          </w:rPr>
          <w:t>十三、基金有关文件档案的保存</w:t>
        </w:r>
        <w:r w:rsidR="00934BC8">
          <w:tab/>
        </w:r>
        <w:r w:rsidR="00934BC8">
          <w:fldChar w:fldCharType="begin"/>
        </w:r>
        <w:r w:rsidR="00934BC8">
          <w:instrText xml:space="preserve"> PAGEREF _Toc25035 \h </w:instrText>
        </w:r>
        <w:r w:rsidR="00934BC8">
          <w:fldChar w:fldCharType="separate"/>
        </w:r>
        <w:r w:rsidR="00047D1E">
          <w:rPr>
            <w:noProof/>
          </w:rPr>
          <w:t>43</w:t>
        </w:r>
        <w:r w:rsidR="00934BC8">
          <w:fldChar w:fldCharType="end"/>
        </w:r>
      </w:hyperlink>
    </w:p>
    <w:p w:rsidR="00BB3BFC" w:rsidRDefault="00131F85">
      <w:pPr>
        <w:pStyle w:val="20"/>
        <w:tabs>
          <w:tab w:val="right" w:leader="dot" w:pos="8306"/>
        </w:tabs>
      </w:pPr>
      <w:hyperlink w:anchor="_Toc30324" w:history="1">
        <w:r w:rsidR="00934BC8">
          <w:rPr>
            <w:rFonts w:ascii="彩虹粗仿宋" w:eastAsia="彩虹粗仿宋" w:hint="eastAsia"/>
          </w:rPr>
          <w:t>十四、基金管理人和基金托管人的更换</w:t>
        </w:r>
        <w:r w:rsidR="00934BC8">
          <w:tab/>
        </w:r>
        <w:r w:rsidR="00934BC8">
          <w:fldChar w:fldCharType="begin"/>
        </w:r>
        <w:r w:rsidR="00934BC8">
          <w:instrText xml:space="preserve"> PAGEREF _Toc30324 \h </w:instrText>
        </w:r>
        <w:r w:rsidR="00934BC8">
          <w:fldChar w:fldCharType="separate"/>
        </w:r>
        <w:r w:rsidR="00047D1E">
          <w:rPr>
            <w:noProof/>
          </w:rPr>
          <w:t>44</w:t>
        </w:r>
        <w:r w:rsidR="00934BC8">
          <w:fldChar w:fldCharType="end"/>
        </w:r>
      </w:hyperlink>
    </w:p>
    <w:p w:rsidR="00BB3BFC" w:rsidRDefault="00131F85">
      <w:pPr>
        <w:pStyle w:val="20"/>
        <w:tabs>
          <w:tab w:val="right" w:leader="dot" w:pos="8306"/>
        </w:tabs>
      </w:pPr>
      <w:hyperlink w:anchor="_Toc5585" w:history="1">
        <w:r w:rsidR="00934BC8">
          <w:rPr>
            <w:rFonts w:ascii="彩虹粗仿宋" w:eastAsia="彩虹粗仿宋" w:hint="eastAsia"/>
          </w:rPr>
          <w:t>十五、禁止行为</w:t>
        </w:r>
        <w:r w:rsidR="00934BC8">
          <w:tab/>
        </w:r>
        <w:r w:rsidR="00934BC8">
          <w:fldChar w:fldCharType="begin"/>
        </w:r>
        <w:r w:rsidR="00934BC8">
          <w:instrText xml:space="preserve"> PAGEREF _Toc5585 \h </w:instrText>
        </w:r>
        <w:r w:rsidR="00934BC8">
          <w:fldChar w:fldCharType="separate"/>
        </w:r>
        <w:r w:rsidR="00047D1E">
          <w:rPr>
            <w:noProof/>
          </w:rPr>
          <w:t>47</w:t>
        </w:r>
        <w:r w:rsidR="00934BC8">
          <w:fldChar w:fldCharType="end"/>
        </w:r>
      </w:hyperlink>
    </w:p>
    <w:p w:rsidR="00BB3BFC" w:rsidRDefault="00131F85">
      <w:pPr>
        <w:pStyle w:val="20"/>
        <w:tabs>
          <w:tab w:val="right" w:leader="dot" w:pos="8306"/>
        </w:tabs>
      </w:pPr>
      <w:hyperlink w:anchor="_Toc21342" w:history="1">
        <w:r w:rsidR="00934BC8">
          <w:rPr>
            <w:rFonts w:ascii="彩虹粗仿宋" w:eastAsia="彩虹粗仿宋" w:hint="eastAsia"/>
          </w:rPr>
          <w:t>十六、托管协议的变更、终止与基金财产的清算</w:t>
        </w:r>
        <w:r w:rsidR="00934BC8">
          <w:tab/>
        </w:r>
        <w:r w:rsidR="00934BC8">
          <w:fldChar w:fldCharType="begin"/>
        </w:r>
        <w:r w:rsidR="00934BC8">
          <w:instrText xml:space="preserve"> PAGEREF _Toc21342 \h </w:instrText>
        </w:r>
        <w:r w:rsidR="00934BC8">
          <w:fldChar w:fldCharType="separate"/>
        </w:r>
        <w:r w:rsidR="00047D1E">
          <w:rPr>
            <w:noProof/>
          </w:rPr>
          <w:t>48</w:t>
        </w:r>
        <w:r w:rsidR="00934BC8">
          <w:fldChar w:fldCharType="end"/>
        </w:r>
      </w:hyperlink>
    </w:p>
    <w:p w:rsidR="00BB3BFC" w:rsidRDefault="00131F85">
      <w:pPr>
        <w:pStyle w:val="20"/>
        <w:tabs>
          <w:tab w:val="right" w:leader="dot" w:pos="8306"/>
        </w:tabs>
      </w:pPr>
      <w:hyperlink w:anchor="_Toc27834" w:history="1">
        <w:r w:rsidR="00934BC8">
          <w:rPr>
            <w:rFonts w:ascii="彩虹粗仿宋" w:eastAsia="彩虹粗仿宋" w:hint="eastAsia"/>
          </w:rPr>
          <w:t>十七、违约责任</w:t>
        </w:r>
        <w:r w:rsidR="00934BC8">
          <w:tab/>
        </w:r>
        <w:r w:rsidR="00934BC8">
          <w:fldChar w:fldCharType="begin"/>
        </w:r>
        <w:r w:rsidR="00934BC8">
          <w:instrText xml:space="preserve"> PAGEREF _Toc27834 \h </w:instrText>
        </w:r>
        <w:r w:rsidR="00934BC8">
          <w:fldChar w:fldCharType="separate"/>
        </w:r>
        <w:r w:rsidR="00047D1E">
          <w:rPr>
            <w:noProof/>
          </w:rPr>
          <w:t>50</w:t>
        </w:r>
        <w:r w:rsidR="00934BC8">
          <w:fldChar w:fldCharType="end"/>
        </w:r>
      </w:hyperlink>
    </w:p>
    <w:p w:rsidR="00BB3BFC" w:rsidRDefault="00131F85">
      <w:pPr>
        <w:pStyle w:val="20"/>
        <w:tabs>
          <w:tab w:val="right" w:leader="dot" w:pos="8306"/>
        </w:tabs>
      </w:pPr>
      <w:hyperlink w:anchor="_Toc31693" w:history="1">
        <w:r w:rsidR="00934BC8">
          <w:rPr>
            <w:rFonts w:ascii="彩虹粗仿宋" w:eastAsia="彩虹粗仿宋" w:hint="eastAsia"/>
          </w:rPr>
          <w:t>十八、争议解决方式</w:t>
        </w:r>
        <w:r w:rsidR="00934BC8">
          <w:tab/>
        </w:r>
        <w:r w:rsidR="00934BC8">
          <w:fldChar w:fldCharType="begin"/>
        </w:r>
        <w:r w:rsidR="00934BC8">
          <w:instrText xml:space="preserve"> PAGEREF _Toc31693 \h </w:instrText>
        </w:r>
        <w:r w:rsidR="00934BC8">
          <w:fldChar w:fldCharType="separate"/>
        </w:r>
        <w:r w:rsidR="00047D1E">
          <w:rPr>
            <w:noProof/>
          </w:rPr>
          <w:t>51</w:t>
        </w:r>
        <w:r w:rsidR="00934BC8">
          <w:fldChar w:fldCharType="end"/>
        </w:r>
      </w:hyperlink>
    </w:p>
    <w:p w:rsidR="00BB3BFC" w:rsidRDefault="00131F85">
      <w:pPr>
        <w:pStyle w:val="20"/>
        <w:tabs>
          <w:tab w:val="right" w:leader="dot" w:pos="8306"/>
        </w:tabs>
      </w:pPr>
      <w:hyperlink w:anchor="_Toc2444" w:history="1">
        <w:r w:rsidR="00934BC8">
          <w:rPr>
            <w:rFonts w:ascii="彩虹粗仿宋" w:eastAsia="彩虹粗仿宋" w:hint="eastAsia"/>
          </w:rPr>
          <w:t>十九、托管协议的效力</w:t>
        </w:r>
        <w:r w:rsidR="00934BC8">
          <w:tab/>
        </w:r>
        <w:r w:rsidR="00934BC8">
          <w:fldChar w:fldCharType="begin"/>
        </w:r>
        <w:r w:rsidR="00934BC8">
          <w:instrText xml:space="preserve"> PAGEREF _Toc2444 \h </w:instrText>
        </w:r>
        <w:r w:rsidR="00934BC8">
          <w:fldChar w:fldCharType="separate"/>
        </w:r>
        <w:r w:rsidR="00047D1E">
          <w:rPr>
            <w:noProof/>
          </w:rPr>
          <w:t>52</w:t>
        </w:r>
        <w:r w:rsidR="00934BC8">
          <w:fldChar w:fldCharType="end"/>
        </w:r>
      </w:hyperlink>
    </w:p>
    <w:p w:rsidR="00BB3BFC" w:rsidRDefault="00131F85">
      <w:pPr>
        <w:pStyle w:val="20"/>
        <w:tabs>
          <w:tab w:val="right" w:leader="dot" w:pos="8306"/>
        </w:tabs>
      </w:pPr>
      <w:hyperlink w:anchor="_Toc2586" w:history="1">
        <w:r w:rsidR="00934BC8">
          <w:rPr>
            <w:rFonts w:ascii="彩虹粗仿宋" w:eastAsia="彩虹粗仿宋" w:hint="eastAsia"/>
          </w:rPr>
          <w:t>二十、其他事项</w:t>
        </w:r>
        <w:r w:rsidR="00934BC8">
          <w:tab/>
        </w:r>
        <w:r w:rsidR="00934BC8">
          <w:fldChar w:fldCharType="begin"/>
        </w:r>
        <w:r w:rsidR="00934BC8">
          <w:instrText xml:space="preserve"> PAGEREF _Toc2586 \h </w:instrText>
        </w:r>
        <w:r w:rsidR="00934BC8">
          <w:fldChar w:fldCharType="separate"/>
        </w:r>
        <w:r w:rsidR="00047D1E">
          <w:rPr>
            <w:noProof/>
          </w:rPr>
          <w:t>52</w:t>
        </w:r>
        <w:r w:rsidR="00934BC8">
          <w:fldChar w:fldCharType="end"/>
        </w:r>
      </w:hyperlink>
    </w:p>
    <w:p w:rsidR="00BB3BFC" w:rsidRDefault="00131F85">
      <w:pPr>
        <w:pStyle w:val="20"/>
        <w:tabs>
          <w:tab w:val="right" w:leader="dot" w:pos="8306"/>
        </w:tabs>
      </w:pPr>
      <w:hyperlink w:anchor="_Toc15103" w:history="1">
        <w:r w:rsidR="00934BC8">
          <w:rPr>
            <w:rFonts w:ascii="彩虹粗仿宋" w:eastAsia="彩虹粗仿宋" w:hint="eastAsia"/>
          </w:rPr>
          <w:t>二十一、托管协议的签订</w:t>
        </w:r>
        <w:r w:rsidR="00934BC8">
          <w:tab/>
        </w:r>
        <w:r w:rsidR="00934BC8">
          <w:fldChar w:fldCharType="begin"/>
        </w:r>
        <w:r w:rsidR="00934BC8">
          <w:instrText xml:space="preserve"> PAGEREF _Toc15103 \h </w:instrText>
        </w:r>
        <w:r w:rsidR="00934BC8">
          <w:fldChar w:fldCharType="separate"/>
        </w:r>
        <w:r w:rsidR="00047D1E">
          <w:rPr>
            <w:noProof/>
          </w:rPr>
          <w:t>53</w:t>
        </w:r>
        <w:r w:rsidR="00934BC8">
          <w:fldChar w:fldCharType="end"/>
        </w:r>
      </w:hyperlink>
    </w:p>
    <w:p w:rsidR="00BB3BFC" w:rsidRDefault="00934BC8">
      <w:pPr>
        <w:spacing w:line="360" w:lineRule="auto"/>
        <w:rPr>
          <w:rFonts w:ascii="彩虹粗仿宋" w:eastAsia="彩虹粗仿宋"/>
          <w:sz w:val="24"/>
        </w:rPr>
      </w:pPr>
      <w:r>
        <w:rPr>
          <w:rFonts w:ascii="彩虹粗仿宋" w:eastAsia="彩虹粗仿宋" w:hAnsi="宋体" w:hint="eastAsia"/>
          <w:sz w:val="28"/>
          <w:szCs w:val="28"/>
        </w:rPr>
        <w:lastRenderedPageBreak/>
        <w:fldChar w:fldCharType="end"/>
      </w:r>
    </w:p>
    <w:p w:rsidR="00BB3BFC" w:rsidRDefault="00934BC8">
      <w:pPr>
        <w:widowControl/>
        <w:adjustRightInd w:val="0"/>
        <w:snapToGrid w:val="0"/>
        <w:spacing w:line="360"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达澳亚基金管理有限公司系一家依照中国法律合法成立并有效存续的有限责任公司，按照相关法律法规的规定具备担任基金管理人的资格和能力，拟募集发行信澳鑫泰6个月持有期债券型证券投资基金（以下简称“本基金”）；</w:t>
      </w:r>
    </w:p>
    <w:p w:rsidR="00BB3BFC" w:rsidRDefault="00934BC8">
      <w:pPr>
        <w:widowControl/>
        <w:adjustRightInd w:val="0"/>
        <w:snapToGrid w:val="0"/>
        <w:spacing w:line="360"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BB3BFC" w:rsidRDefault="00934BC8">
      <w:pPr>
        <w:widowControl/>
        <w:adjustRightInd w:val="0"/>
        <w:snapToGrid w:val="0"/>
        <w:spacing w:line="360"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鉴于信达澳亚基金管理有限公司拟担任信澳鑫泰6个月持有期债券型证券投资基金的基金管理人，中国建设银行股份有限公司拟担任信澳鑫泰6个月持有期债券型证券投资基金的基金托管人；</w:t>
      </w:r>
    </w:p>
    <w:p w:rsidR="00BB3BFC" w:rsidRDefault="00934BC8">
      <w:pPr>
        <w:widowControl/>
        <w:adjustRightInd w:val="0"/>
        <w:snapToGrid w:val="0"/>
        <w:spacing w:line="360"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为明确信澳鑫泰6个月持有期债券型证券投资基金的基金管理人和基金托管人之间的权利义务关系，特制订本托管协议；</w:t>
      </w:r>
    </w:p>
    <w:p w:rsidR="00BB3BFC" w:rsidRDefault="00934BC8">
      <w:pPr>
        <w:widowControl/>
        <w:adjustRightInd w:val="0"/>
        <w:snapToGrid w:val="0"/>
        <w:spacing w:line="360" w:lineRule="auto"/>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信澳鑫泰6个月持有期债券型证券投资基金</w:t>
      </w:r>
      <w:r>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BB3BFC" w:rsidRDefault="00BB3BFC">
      <w:pPr>
        <w:spacing w:line="360" w:lineRule="auto"/>
        <w:rPr>
          <w:rFonts w:ascii="彩虹粗仿宋" w:eastAsia="彩虹粗仿宋"/>
          <w:sz w:val="24"/>
          <w:lang w:val="en-GB"/>
        </w:rPr>
      </w:pPr>
    </w:p>
    <w:p w:rsidR="00BB3BFC" w:rsidRDefault="00934BC8">
      <w:pPr>
        <w:pStyle w:val="2"/>
        <w:spacing w:before="0" w:after="0" w:line="360" w:lineRule="auto"/>
        <w:jc w:val="center"/>
        <w:rPr>
          <w:rFonts w:ascii="彩虹粗仿宋" w:eastAsia="彩虹粗仿宋"/>
        </w:rPr>
      </w:pPr>
      <w:bookmarkStart w:id="0" w:name="_Toc21071"/>
      <w:bookmarkStart w:id="1" w:name="_Toc78446123"/>
      <w:bookmarkStart w:id="2" w:name="_Toc10194"/>
      <w:bookmarkStart w:id="3" w:name="_Toc7350"/>
      <w:r>
        <w:rPr>
          <w:rFonts w:ascii="彩虹粗仿宋" w:eastAsia="彩虹粗仿宋" w:hint="eastAsia"/>
        </w:rPr>
        <w:t>一、基金托管协议当事人</w:t>
      </w:r>
      <w:bookmarkEnd w:id="0"/>
      <w:bookmarkEnd w:id="1"/>
      <w:bookmarkEnd w:id="2"/>
      <w:bookmarkEnd w:id="3"/>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名称：信达澳亚基金管理有限公司</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注册地址：深圳市南山区粤海街道海珠社区科苑南路2666号中国华润大厦L1001</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办公地址：深圳市南山区科苑南路2666号中国华润大厦10层</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518063</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r>
        <w:rPr>
          <w:rFonts w:ascii="彩虹粗仿宋" w:eastAsia="彩虹粗仿宋" w:hAnsi="宋体" w:cs="Arial"/>
          <w:sz w:val="24"/>
        </w:rPr>
        <w:t>朱永强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成立日期：</w:t>
      </w:r>
      <w:r>
        <w:rPr>
          <w:rFonts w:ascii="彩虹粗仿宋" w:eastAsia="彩虹粗仿宋" w:hAnsi="宋体" w:cs="Arial"/>
          <w:sz w:val="24"/>
        </w:rPr>
        <w:t>2006</w:t>
      </w:r>
      <w:r>
        <w:rPr>
          <w:rFonts w:ascii="彩虹粗仿宋" w:eastAsia="彩虹粗仿宋" w:hAnsi="宋体" w:cs="Arial" w:hint="eastAsia"/>
          <w:sz w:val="24"/>
        </w:rPr>
        <w:t>年</w:t>
      </w:r>
      <w:r>
        <w:rPr>
          <w:rFonts w:ascii="彩虹粗仿宋" w:eastAsia="彩虹粗仿宋" w:hAnsi="宋体" w:cs="Arial"/>
          <w:sz w:val="24"/>
        </w:rPr>
        <w:t>6</w:t>
      </w:r>
      <w:r>
        <w:rPr>
          <w:rFonts w:ascii="彩虹粗仿宋" w:eastAsia="彩虹粗仿宋" w:hAnsi="宋体" w:cs="Arial" w:hint="eastAsia"/>
          <w:sz w:val="24"/>
        </w:rPr>
        <w:t>月</w:t>
      </w:r>
      <w:r>
        <w:rPr>
          <w:rFonts w:ascii="彩虹粗仿宋" w:eastAsia="彩虹粗仿宋" w:hAnsi="宋体" w:cs="Arial"/>
          <w:sz w:val="24"/>
        </w:rPr>
        <w:t>5</w:t>
      </w:r>
      <w:r>
        <w:rPr>
          <w:rFonts w:ascii="彩虹粗仿宋" w:eastAsia="彩虹粗仿宋" w:hAnsi="宋体" w:cs="Arial" w:hint="eastAsia"/>
          <w:sz w:val="24"/>
        </w:rPr>
        <w:t>日</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sz w:val="24"/>
        </w:rPr>
        <w:t>[2006]071</w:t>
      </w:r>
      <w:r>
        <w:rPr>
          <w:rFonts w:ascii="彩虹粗仿宋" w:eastAsia="彩虹粗仿宋" w:hAnsi="宋体" w:cs="Arial" w:hint="eastAsia"/>
          <w:sz w:val="24"/>
        </w:rPr>
        <w:t>号</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注册资本：壹亿元人民币</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经营范围：</w:t>
      </w:r>
      <w:r>
        <w:rPr>
          <w:rFonts w:ascii="彩虹粗仿宋" w:eastAsia="彩虹粗仿宋" w:hAnsi="宋体" w:cs="Arial"/>
          <w:sz w:val="24"/>
        </w:rPr>
        <w:t>基金募集、基金销售、资产管理和中国证监会许可的其他业务</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4" w:name="OLE_LINK3"/>
      <w:r>
        <w:rPr>
          <w:rFonts w:ascii="彩虹粗仿宋" w:eastAsia="彩虹粗仿宋" w:hAnsi="宋体" w:cs="Arial" w:hint="eastAsia"/>
          <w:sz w:val="24"/>
        </w:rPr>
        <w:t>]</w:t>
      </w:r>
      <w:bookmarkEnd w:id="4"/>
      <w:r>
        <w:rPr>
          <w:rFonts w:ascii="彩虹粗仿宋" w:eastAsia="彩虹粗仿宋" w:hAnsi="宋体" w:cs="Arial" w:hint="eastAsia"/>
          <w:sz w:val="24"/>
        </w:rPr>
        <w:t>12号</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注册资本：贰仟伍佰亿壹仟零玖拾柒万柒仟肆佰捌拾陆元整</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BB3BFC" w:rsidRDefault="00934BC8">
      <w:pPr>
        <w:tabs>
          <w:tab w:val="left" w:pos="540"/>
        </w:tabs>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B3BFC" w:rsidRDefault="00BB3BFC">
      <w:pPr>
        <w:spacing w:line="360" w:lineRule="auto"/>
        <w:rPr>
          <w:rFonts w:ascii="彩虹粗仿宋" w:eastAsia="彩虹粗仿宋"/>
          <w:sz w:val="24"/>
        </w:rPr>
      </w:pPr>
    </w:p>
    <w:p w:rsidR="00BB3BFC" w:rsidRDefault="00934BC8">
      <w:pPr>
        <w:pStyle w:val="2"/>
        <w:spacing w:before="0" w:after="0" w:line="360" w:lineRule="auto"/>
        <w:jc w:val="center"/>
        <w:rPr>
          <w:rFonts w:ascii="彩虹粗仿宋" w:eastAsia="彩虹粗仿宋"/>
          <w:sz w:val="30"/>
        </w:rPr>
      </w:pPr>
      <w:bookmarkStart w:id="5" w:name="_Toc7296"/>
      <w:bookmarkStart w:id="6" w:name="_Toc78446124"/>
      <w:bookmarkStart w:id="7" w:name="_Toc10833"/>
      <w:bookmarkStart w:id="8" w:name="_Toc16173"/>
      <w:r>
        <w:rPr>
          <w:rFonts w:ascii="彩虹粗仿宋" w:eastAsia="彩虹粗仿宋" w:hint="eastAsia"/>
          <w:sz w:val="30"/>
        </w:rPr>
        <w:lastRenderedPageBreak/>
        <w:t>二、基金托管协议的依据、目的和原则</w:t>
      </w:r>
      <w:bookmarkEnd w:id="5"/>
      <w:bookmarkEnd w:id="6"/>
      <w:bookmarkEnd w:id="7"/>
      <w:bookmarkEnd w:id="8"/>
    </w:p>
    <w:p w:rsidR="00BB3BFC" w:rsidRDefault="00934BC8">
      <w:pPr>
        <w:adjustRightInd w:val="0"/>
        <w:snapToGrid w:val="0"/>
        <w:spacing w:line="360" w:lineRule="auto"/>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民法典》、《中华人民共和国证券投资基金法》（以下简称《基金法》）、《公开募集证券投资基金销售机构监督管理办法》（以下简称《销售办法》）、《公开募集证券投资基金运作管理办法》（以下简称《运作办法》）、《公开募集证券投资基金信息披露管理办法》（以下简称《信息披露办法》）、《公开募集开放式证券投资基金流动性风险管理规定》</w:t>
      </w:r>
      <w:r>
        <w:rPr>
          <w:rFonts w:ascii="彩虹粗仿宋" w:eastAsia="彩虹粗仿宋" w:hAnsi="宋体" w:cs="Arial" w:hint="eastAsia"/>
          <w:kern w:val="0"/>
          <w:sz w:val="24"/>
          <w:lang w:val="en-GB"/>
        </w:rPr>
        <w:t>（以下简称《流动性风险规定》）</w:t>
      </w:r>
      <w:r>
        <w:rPr>
          <w:rFonts w:ascii="彩虹粗仿宋" w:eastAsia="彩虹粗仿宋" w:hAnsi="宋体" w:cs="Arial" w:hint="eastAsia"/>
          <w:sz w:val="24"/>
        </w:rPr>
        <w:t>、《</w:t>
      </w:r>
      <w:r>
        <w:rPr>
          <w:rFonts w:ascii="彩虹粗仿宋" w:eastAsia="彩虹粗仿宋" w:hAnsi="宋体" w:cs="Arial" w:hint="eastAsia"/>
          <w:kern w:val="0"/>
          <w:sz w:val="24"/>
        </w:rPr>
        <w:t>信澳鑫泰6个月持有期债券型证券投资基金</w:t>
      </w:r>
      <w:r>
        <w:rPr>
          <w:rFonts w:ascii="彩虹粗仿宋" w:eastAsia="彩虹粗仿宋" w:hAnsi="宋体" w:cs="Arial" w:hint="eastAsia"/>
          <w:kern w:val="0"/>
          <w:sz w:val="24"/>
          <w:lang w:val="en-GB"/>
        </w:rPr>
        <w:t>基金合同</w:t>
      </w:r>
      <w:r>
        <w:rPr>
          <w:rFonts w:ascii="彩虹粗仿宋" w:eastAsia="彩虹粗仿宋" w:hAnsi="宋体" w:cs="Arial" w:hint="eastAsia"/>
          <w:sz w:val="24"/>
        </w:rPr>
        <w:t>》（以下简称《基金合同》）及其他有关规定订立。</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BB3BFC" w:rsidRDefault="00934BC8">
      <w:pPr>
        <w:adjustRightInd w:val="0"/>
        <w:snapToGrid w:val="0"/>
        <w:spacing w:line="360" w:lineRule="auto"/>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BB3BFC" w:rsidRDefault="00BB3BFC">
      <w:pPr>
        <w:spacing w:line="360" w:lineRule="auto"/>
        <w:rPr>
          <w:rFonts w:ascii="彩虹粗仿宋" w:eastAsia="彩虹粗仿宋"/>
          <w:sz w:val="24"/>
        </w:rPr>
      </w:pPr>
    </w:p>
    <w:p w:rsidR="00BB3BFC" w:rsidRDefault="00934BC8">
      <w:pPr>
        <w:pStyle w:val="2"/>
        <w:spacing w:before="0" w:after="0" w:line="360" w:lineRule="auto"/>
        <w:jc w:val="center"/>
        <w:rPr>
          <w:rFonts w:ascii="彩虹粗仿宋" w:eastAsia="彩虹粗仿宋"/>
          <w:sz w:val="30"/>
          <w:szCs w:val="24"/>
        </w:rPr>
      </w:pPr>
      <w:bookmarkStart w:id="9" w:name="_Toc16849"/>
      <w:bookmarkStart w:id="10" w:name="_Toc78446125"/>
      <w:bookmarkStart w:id="11" w:name="_Toc15774"/>
      <w:bookmarkStart w:id="12" w:name="_Toc4725"/>
      <w:r>
        <w:rPr>
          <w:rFonts w:ascii="彩虹粗仿宋" w:eastAsia="彩虹粗仿宋" w:hint="eastAsia"/>
          <w:sz w:val="30"/>
        </w:rPr>
        <w:t>三、基金托管人对基金管理人的业务监督和核查</w:t>
      </w:r>
      <w:bookmarkEnd w:id="9"/>
      <w:bookmarkEnd w:id="10"/>
      <w:bookmarkEnd w:id="11"/>
      <w:bookmarkEnd w:id="12"/>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w:t>
      </w:r>
      <w:r>
        <w:rPr>
          <w:rFonts w:ascii="彩虹粗仿宋" w:eastAsia="彩虹粗仿宋" w:hAnsi="宋体" w:cs="Arial" w:hint="eastAsia"/>
          <w:sz w:val="24"/>
        </w:rPr>
        <w:lastRenderedPageBreak/>
        <w:t>人根据上述投资范围对基金实际投资是否符合《基金合同》关于证券选择标准的约定进行监督。</w:t>
      </w:r>
    </w:p>
    <w:p w:rsidR="00BB3BFC" w:rsidRDefault="00934BC8">
      <w:pPr>
        <w:adjustRightInd w:val="0"/>
        <w:snapToGrid w:val="0"/>
        <w:spacing w:line="360" w:lineRule="auto"/>
        <w:ind w:firstLineChars="200" w:firstLine="480"/>
        <w:rPr>
          <w:rFonts w:ascii="彩虹粗仿宋" w:eastAsia="彩虹粗仿宋" w:hAnsi="宋体" w:cs="Arial"/>
          <w:sz w:val="24"/>
        </w:rPr>
      </w:pPr>
      <w:bookmarkStart w:id="13" w:name="_Hlk40385468"/>
      <w:r>
        <w:rPr>
          <w:rFonts w:ascii="彩虹粗仿宋" w:eastAsia="彩虹粗仿宋" w:hAnsi="宋体" w:cs="Arial" w:hint="eastAsia"/>
          <w:sz w:val="24"/>
        </w:rPr>
        <w:t>本基金的投资范围主要为具有良好流动性的金融工具，包括债券（包括国债、地方政府债、金融债、企业债、公司债、公开发行的次级债、可转换债券（含可分离交易可转债）、可交换债券、央行票据、中期票据、短期融资券、超短期融资券）、资产支持证券、债券回购、银行存款、同业存单、货币市场工具、国内依法发行上市的股票（包括创业板及其他依法发行、上市的股票、存托凭证）、港股通标的股票、国债期货以及法律法规或中国证监会允许基金投资的其他金融工具（但须符合中国证监会的相关规定）。</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本基金对债券的投资比例不低于基金资产的80％，投资于股票（含存托凭证）、可转换债券（含可分离交易可转债）和可交换债券的比例不超过基金资产的20%（其中投资于港股通标的股票的比例不超过本基金所投资股票资产的50%）；每个交易日日终在扣除国债期货合约需缴纳的交易保证金后，保持不低于基金资产净值5%的现金或者到期日在一年以内的政府债券。其中现金不包括结算备付金、存出保证金和应收申购款等。</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（1）本基金投资于债券资产的比例不低于基金资产的80%，投资于股票（含存托凭证）、可转换债券（含可分离交易可转债）和可交换债券合计占基金资产</w:t>
      </w:r>
      <w:r>
        <w:rPr>
          <w:rFonts w:ascii="彩虹粗仿宋" w:eastAsia="彩虹粗仿宋" w:hint="eastAsia"/>
          <w:sz w:val="24"/>
        </w:rPr>
        <w:lastRenderedPageBreak/>
        <w:t>的比例范围为0-20%，其中港股通股票投资比例不得超过股票资产的50%；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（2）本基金每个交易日日终在扣除国债期货合约需缴纳的交易保证金后，应当保持不低于基金资产净值5%的现金或者到期日在一年以内的政府债券，其中现金不包括结算备付金、存出保证金和应收申购款等；</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（3）本基金持有一家公司发行的证券（同一家公司在境内和香港同时上市的A+H股合计计算），其市值不超过基金资产净值的10％；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（4）本基金管理人管理的且由本基金托管人托管的全部基金持有一家公司发行的证券（同一家公司在境内和香港同时上市的A+H股合计计算），不超过该证券的10％；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（5）本基金投资于同一原始权益人的各类资产支持证券的比例，不得超过基金资产净值的10％；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（6）本基金持有的全部资产支持证券，其市值不得超过基金资产净值的20％；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（7）本基金持有的同一(指同一信用级别)资产支持证券的比例，不得超过该资产支持证券规模的10％；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（8）本基金管理人管理的且由本基金托管人托管的全部基金投资于同一原始权益人的各类资产支持证券，不得超过其各类资产支持证券合计规模的10％；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（9）本基金应投资于信用级别评级为AA级以上(含AA)的资产支持证券。本基金持有资产支持证券期间，如果其信用等级下降、不再符合投资标准，应在评级报告发布之日起3个月内予以全部卖出；</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（11）本基金</w:t>
      </w:r>
      <w:r>
        <w:rPr>
          <w:rFonts w:ascii="彩虹粗仿宋" w:eastAsia="彩虹粗仿宋" w:hint="eastAsia"/>
          <w:bCs/>
          <w:sz w:val="24"/>
        </w:rPr>
        <w:t>进行债券正回购资金余额或逆回购的资金余额</w:t>
      </w:r>
      <w:r>
        <w:rPr>
          <w:rFonts w:ascii="彩虹粗仿宋" w:eastAsia="彩虹粗仿宋" w:hint="eastAsia"/>
          <w:sz w:val="24"/>
        </w:rPr>
        <w:t>不得超过基金</w:t>
      </w:r>
      <w:r>
        <w:rPr>
          <w:rFonts w:ascii="彩虹粗仿宋" w:eastAsia="彩虹粗仿宋" w:hint="eastAsia"/>
          <w:sz w:val="24"/>
        </w:rPr>
        <w:lastRenderedPageBreak/>
        <w:t>资产净值的40%；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（12）本基金资产总值不得超过基金资产净值的140%；</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13）本基金主动投资于流动性受限资产的市值合计不得超过基金资产净值的15%；因证券市场波动、上市公司股票停牌、基金规模变动等基金管理人之外的因素致使基金不符合本项所规定比例限制的，基金管理人不得主动新增流动性受限资产的投资；</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14）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bookmarkStart w:id="14" w:name="_Hlk135139881"/>
    </w:p>
    <w:bookmarkEnd w:id="14"/>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5</w:t>
      </w:r>
      <w:r>
        <w:rPr>
          <w:rFonts w:ascii="彩虹粗仿宋" w:eastAsia="彩虹粗仿宋"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 一年以内的政府债券）市值和买入、卖出国债期货合约价值，合计（轧差计算）应当符合基金合同关于债券投资比例的有关约定；</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6</w:t>
      </w:r>
      <w:r>
        <w:rPr>
          <w:rFonts w:ascii="彩虹粗仿宋" w:eastAsia="彩虹粗仿宋" w:hint="eastAsia"/>
          <w:sz w:val="24"/>
        </w:rPr>
        <w:t>）本基金投资存托凭证的比例限制依照境内上市交易的股票执行，与境内上市交易的股票合并计算；</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7</w:t>
      </w:r>
      <w:r>
        <w:rPr>
          <w:rFonts w:ascii="彩虹粗仿宋" w:eastAsia="彩虹粗仿宋" w:hint="eastAsia"/>
          <w:sz w:val="24"/>
        </w:rPr>
        <w:t>）法律法规及中国证监会规定的和《基金合同》约定的其他投资限制。</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除上述第（2）、（9）、（13）项外，因证券、期货市场波动、证券发行人合并、基金规模变动等基金管理人之外的因素致使基金投资比例不符合上述规定投资比例的，基金管理人应当在10个交易日内进行调整，但中国证监会规定的特殊</w:t>
      </w:r>
      <w:r>
        <w:rPr>
          <w:rFonts w:ascii="彩虹粗仿宋" w:eastAsia="彩虹粗仿宋" w:hint="eastAsia"/>
          <w:sz w:val="24"/>
        </w:rPr>
        <w:lastRenderedPageBreak/>
        <w:t>情形除外。</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法律法规或监管部门取消或变更上述限制，如适用于本基金，基金管理人在履行适当程序后，则本基金投资不再受相关限制或按变更后的规定执行。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（三）基金托管人根据有关法律法规、中国证监会的规定及《基金合同》的约定，对本托管协议第十五条第（九）款基金投资禁止行为通过事后监督方式进行监督。</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bookmarkEnd w:id="13"/>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（四）基金托管人根据有关法律法规的规定及《基金合同》的约定，对基金管理人投资流通受限证券进行监督。</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基金管理人投资流通受限证券，应事先根据中国证监会相关规定，明确基金投资流通受限证券的比例，制订严格的投资决策流程和风险控制制度，防范流动性风险、法律风险和操作风险等各种风险。</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sz w:val="24"/>
        </w:rPr>
        <w:t>1.本基金</w:t>
      </w:r>
      <w:r>
        <w:rPr>
          <w:rFonts w:ascii="彩虹粗仿宋" w:eastAsia="彩虹粗仿宋" w:hint="eastAsia"/>
          <w:sz w:val="24"/>
        </w:rPr>
        <w:t>投资的流通受限证券须为经中国证监会批准的非公开发行股票、公</w:t>
      </w:r>
      <w:r>
        <w:rPr>
          <w:rFonts w:ascii="彩虹粗仿宋" w:eastAsia="彩虹粗仿宋" w:hint="eastAsia"/>
          <w:sz w:val="24"/>
        </w:rPr>
        <w:lastRenderedPageBreak/>
        <w:t>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本基金投资流通受限证券，不得预付任何形式的保证金，若法规有新规定的按照新的规定执行。</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w:t>
      </w:r>
      <w:r>
        <w:rPr>
          <w:rFonts w:ascii="彩虹粗仿宋" w:eastAsia="彩虹粗仿宋" w:hint="eastAsia"/>
          <w:sz w:val="24"/>
        </w:rPr>
        <w:lastRenderedPageBreak/>
        <w:t>基金托管人由此遭受的损失。</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w:t>
      </w:r>
      <w:r>
        <w:rPr>
          <w:rFonts w:ascii="彩虹粗仿宋" w:eastAsia="彩虹粗仿宋"/>
          <w:sz w:val="24"/>
        </w:rPr>
        <w:t>3</w:t>
      </w:r>
      <w:r>
        <w:rPr>
          <w:rFonts w:ascii="彩虹粗仿宋" w:eastAsia="彩虹粗仿宋" w:hint="eastAsia"/>
          <w:sz w:val="24"/>
        </w:rPr>
        <w:t>）基金拟认购的数量、价格、总成本、账面价值。</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sz w:val="24"/>
        </w:rPr>
        <w:t>4.</w:t>
      </w:r>
      <w:r>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相关法律法规或中国证监会对基金投资流通受限证券有新规定的，从其规定。</w:t>
      </w:r>
    </w:p>
    <w:p w:rsidR="00BB3BFC" w:rsidRDefault="00934BC8">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五）基金托管人应根据有关法律法规、中国证监会的规定及《基金合同》的约定，对基金资产净值计算、各类基金份额净值计算、应收资金到账、基金费用开支及收入确定、基金收益分配、相关信息披露、基金宣传推介材料中登载基金业绩表现数据等进行监督和核查。</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w:t>
      </w:r>
      <w:r>
        <w:rPr>
          <w:rFonts w:ascii="彩虹粗仿宋" w:eastAsia="彩虹粗仿宋" w:hAnsi="宋体" w:cs="Arial" w:hint="eastAsia"/>
          <w:sz w:val="24"/>
        </w:rPr>
        <w:lastRenderedPageBreak/>
        <w:t>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十）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侧袋机制实施期间，本基金的投资组合比例、投资策略、组合限制、业绩比较基准、风险收益特征等约定仅适用于主袋账户。</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侧袋账户的实施条件、实施程序、运作安排（包括但不限于对基金赎回的影响、信息披露、费用列支等）、投资安排、特定资产的处置变现和支付等对投资者权益有重大影响的事项详见基金合同和招募说明书的规定。</w:t>
      </w:r>
    </w:p>
    <w:p w:rsidR="00BB3BFC" w:rsidRDefault="00BB3BFC">
      <w:pPr>
        <w:spacing w:line="360" w:lineRule="auto"/>
        <w:rPr>
          <w:rFonts w:ascii="彩虹粗仿宋" w:eastAsia="彩虹粗仿宋"/>
          <w:sz w:val="24"/>
        </w:rPr>
      </w:pPr>
    </w:p>
    <w:p w:rsidR="00BB3BFC" w:rsidRDefault="00934BC8">
      <w:pPr>
        <w:pStyle w:val="2"/>
        <w:spacing w:before="0" w:after="0" w:line="360" w:lineRule="auto"/>
        <w:jc w:val="center"/>
        <w:rPr>
          <w:rFonts w:ascii="彩虹粗仿宋" w:eastAsia="彩虹粗仿宋"/>
          <w:sz w:val="30"/>
        </w:rPr>
      </w:pPr>
      <w:bookmarkStart w:id="15" w:name="_Toc110761796"/>
      <w:bookmarkStart w:id="16" w:name="_Toc25852"/>
      <w:bookmarkStart w:id="17" w:name="_Toc110830492"/>
      <w:bookmarkStart w:id="18" w:name="_Toc86726439"/>
      <w:bookmarkStart w:id="19" w:name="_Toc108512358"/>
      <w:bookmarkStart w:id="20" w:name="_Toc118972648"/>
      <w:bookmarkStart w:id="21" w:name="_Toc119402710"/>
      <w:bookmarkStart w:id="22" w:name="_Toc20586"/>
      <w:bookmarkStart w:id="23" w:name="_Toc86223242"/>
      <w:bookmarkStart w:id="24" w:name="_Toc78446126"/>
      <w:bookmarkStart w:id="25" w:name="_Toc86225291"/>
      <w:bookmarkStart w:id="26" w:name="_Toc118212950"/>
      <w:bookmarkStart w:id="27" w:name="_Toc4623"/>
      <w:bookmarkStart w:id="28" w:name="_Toc120435783"/>
      <w:bookmarkStart w:id="29" w:name="_Toc86737929"/>
      <w:bookmarkStart w:id="30" w:name="_Toc86649722"/>
      <w:bookmarkStart w:id="31" w:name="_Toc110765660"/>
      <w:bookmarkStart w:id="32" w:name="_Toc89163368"/>
      <w:bookmarkStart w:id="33" w:name="_Toc86727355"/>
      <w:bookmarkStart w:id="34" w:name="_Toc118774803"/>
      <w:r>
        <w:rPr>
          <w:rFonts w:ascii="彩虹粗仿宋" w:eastAsia="彩虹粗仿宋" w:hint="eastAsia"/>
          <w:sz w:val="30"/>
        </w:rPr>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、复核基金管理人计算的基金资产净值和各类基金份额净值、根据基金管理人指令办理清算交收、相关信息披露和监督基金投资运作等行为。</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无故未执行或无故延迟执行基金管理人资金划拨指令、泄露基金投资信息等违反《基金法》、《基金合同》、本协议及其他有关规定时，应及时以书面形式或其他双方认可的形式通知基金托管人限期纠正。基金托管人收到通知后应及时核对并以书面形式或其他双方认可的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B3BFC" w:rsidRDefault="00BB3BFC">
      <w:pPr>
        <w:spacing w:line="360" w:lineRule="auto"/>
        <w:rPr>
          <w:rFonts w:ascii="彩虹粗仿宋" w:eastAsia="彩虹粗仿宋"/>
          <w:sz w:val="24"/>
        </w:rPr>
      </w:pPr>
    </w:p>
    <w:p w:rsidR="00BB3BFC" w:rsidRDefault="00934BC8">
      <w:pPr>
        <w:pStyle w:val="2"/>
        <w:spacing w:before="0" w:after="0" w:line="360" w:lineRule="auto"/>
        <w:jc w:val="center"/>
        <w:rPr>
          <w:rFonts w:ascii="彩虹粗仿宋" w:eastAsia="彩虹粗仿宋"/>
          <w:sz w:val="30"/>
        </w:rPr>
      </w:pPr>
      <w:bookmarkStart w:id="35" w:name="_Toc118972649"/>
      <w:bookmarkStart w:id="36" w:name="_Toc84234435"/>
      <w:bookmarkStart w:id="37" w:name="_Toc89163369"/>
      <w:bookmarkStart w:id="38" w:name="_Toc3490"/>
      <w:bookmarkStart w:id="39" w:name="_Toc84234388"/>
      <w:bookmarkStart w:id="40" w:name="_Toc86737930"/>
      <w:bookmarkStart w:id="41" w:name="_Toc110830493"/>
      <w:bookmarkStart w:id="42" w:name="_Toc120435784"/>
      <w:bookmarkStart w:id="43" w:name="_Toc86727356"/>
      <w:bookmarkStart w:id="44" w:name="_Toc118212951"/>
      <w:bookmarkStart w:id="45" w:name="_Toc110765661"/>
      <w:bookmarkStart w:id="46" w:name="_Toc118774804"/>
      <w:bookmarkStart w:id="47" w:name="_Toc119402711"/>
      <w:bookmarkStart w:id="48" w:name="_Toc86649723"/>
      <w:bookmarkStart w:id="49" w:name="_Toc86223243"/>
      <w:bookmarkStart w:id="50" w:name="_Toc32423"/>
      <w:bookmarkStart w:id="51" w:name="_Toc86204789"/>
      <w:bookmarkStart w:id="52" w:name="_Toc86726440"/>
      <w:bookmarkStart w:id="53" w:name="_Toc78446127"/>
      <w:bookmarkStart w:id="54" w:name="_Toc108512359"/>
      <w:bookmarkStart w:id="55" w:name="_Toc110761797"/>
      <w:bookmarkStart w:id="56" w:name="_Toc7865"/>
      <w:bookmarkStart w:id="57" w:name="_Toc84133786"/>
      <w:bookmarkStart w:id="58" w:name="_Toc86225292"/>
      <w:r>
        <w:rPr>
          <w:rFonts w:ascii="彩虹粗仿宋" w:eastAsia="彩虹粗仿宋" w:hint="eastAsia"/>
          <w:sz w:val="30"/>
        </w:rPr>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4.基金托管人对所托管的不同基金财产分别设置账户，分账管理，独立核算，确保基金财产的完整与独立。</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的协助和配合。</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w:t>
      </w:r>
      <w:r>
        <w:rPr>
          <w:rFonts w:ascii="彩虹粗仿宋" w:eastAsia="彩虹粗仿宋" w:hAnsi="宋体" w:cs="Arial" w:hint="eastAsia"/>
          <w:sz w:val="24"/>
        </w:rPr>
        <w:lastRenderedPageBreak/>
        <w:t>立的“基金募集专户”。该账户由基金管理人开立并管理。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r>
        <w:rPr>
          <w:rFonts w:ascii="彩虹粗仿宋" w:eastAsia="彩虹粗仿宋" w:hAnsi="宋体" w:cs="Arial"/>
          <w:sz w:val="24"/>
        </w:rPr>
        <w:t>基金托管人应予以必要的协助和配合</w:t>
      </w:r>
      <w:r>
        <w:rPr>
          <w:rFonts w:ascii="彩虹粗仿宋" w:eastAsia="彩虹粗仿宋" w:hAnsi="宋体" w:cs="Arial" w:hint="eastAsia"/>
          <w:sz w:val="24"/>
        </w:rPr>
        <w:t>。</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5.管理人应于本基金到期后及时完成收益兑付、费用结清及其他应收应付款项资金划转，在确保后续不再发生款项进出后的10个工作日内向托管人发出销户申请。</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1.基金托管人在中国证券登记结算有限责任公司为基金开立基金托管人与基金联名的证券账户。</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证券账户开户费由基金管理人先行垫付，待本基金启始运营后,基金管理人可向基金托管人发送划款指令，将代垫开户费从本基金托管资金账户中扣还基金管理人。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中央国债登记结算有限责任公司、银行间市场登记结算机构的有关规定，在中央国债登记结算有限责任公司、银行间市场登记结算机构以本基金的名义开立债券托管账户、持有人账户和资金结算账户，并代表基金进行银行间市场债券的结算。基金管理人和基金托管人共同代表基金签订全国银行间债券市场债券回购主协议。</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Pr>
          <w:rFonts w:ascii="彩虹粗仿宋" w:eastAsia="彩虹粗仿宋" w:hAnsi="宋体" w:cs="Arial" w:hint="eastAsia"/>
          <w:sz w:val="24"/>
        </w:rPr>
        <w:t>）其他账户的开立和管理</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七</w:t>
      </w:r>
      <w:r>
        <w:rPr>
          <w:rFonts w:ascii="彩虹粗仿宋" w:eastAsia="彩虹粗仿宋" w:hAnsi="宋体" w:cs="Arial" w:hint="eastAsia"/>
          <w:sz w:val="24"/>
        </w:rPr>
        <w:t>）基金财产投资的有关有价凭证等的保管</w:t>
      </w:r>
    </w:p>
    <w:p w:rsidR="00BB3BFC" w:rsidRDefault="00934BC8">
      <w:pPr>
        <w:adjustRightInd w:val="0"/>
        <w:snapToGrid w:val="0"/>
        <w:spacing w:line="360" w:lineRule="auto"/>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w:t>
      </w:r>
      <w:r>
        <w:rPr>
          <w:rFonts w:ascii="彩虹粗仿宋" w:eastAsia="彩虹粗仿宋" w:hAnsi="宋体" w:cs="Arial"/>
          <w:sz w:val="24"/>
        </w:rPr>
        <w:t>市场清算所股份</w:t>
      </w:r>
      <w:r>
        <w:rPr>
          <w:rFonts w:ascii="彩虹粗仿宋" w:eastAsia="彩虹粗仿宋" w:hAnsi="宋体" w:cs="Arial" w:hint="eastAsia"/>
          <w:sz w:val="24"/>
        </w:rPr>
        <w:t>有限</w:t>
      </w:r>
      <w:r>
        <w:rPr>
          <w:rFonts w:ascii="彩虹粗仿宋" w:eastAsia="彩虹粗仿宋" w:hAnsi="宋体" w:cs="Arial"/>
          <w:sz w:val="24"/>
        </w:rPr>
        <w:t>公司、</w:t>
      </w:r>
      <w:r>
        <w:rPr>
          <w:rFonts w:ascii="彩虹粗仿宋" w:eastAsia="彩虹粗仿宋" w:hAnsi="宋体" w:cs="Arial" w:hint="eastAsia"/>
          <w:sz w:val="24"/>
        </w:rPr>
        <w:t>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八</w:t>
      </w:r>
      <w:r>
        <w:rPr>
          <w:rFonts w:ascii="彩虹粗仿宋" w:eastAsia="彩虹粗仿宋" w:hAnsi="宋体" w:cs="Arial" w:hint="eastAsia"/>
          <w:sz w:val="24"/>
        </w:rPr>
        <w:t>）与基金财产有关的重大合同的保管</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w:t>
      </w:r>
      <w:r>
        <w:rPr>
          <w:rFonts w:ascii="彩虹粗仿宋" w:eastAsia="彩虹粗仿宋" w:hAnsi="宋体" w:cs="Arial" w:hint="eastAsia"/>
          <w:sz w:val="24"/>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法律法规或监管规则另有规定的，从其规定</w:t>
      </w:r>
      <w:r>
        <w:rPr>
          <w:rFonts w:ascii="彩虹粗仿宋" w:eastAsia="彩虹粗仿宋" w:hAnsi="宋体" w:cs="Arial" w:hint="eastAsia"/>
          <w:sz w:val="24"/>
        </w:rPr>
        <w:t>。</w:t>
      </w:r>
    </w:p>
    <w:p w:rsidR="00BB3BFC" w:rsidRDefault="00934BC8">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对于无法取得二份以上的正本的，基金管理人应向基金托管人提供合同传真件并加盖公章，未经双方协商一致，合同原件不得转移。</w:t>
      </w:r>
    </w:p>
    <w:p w:rsidR="00BB3BFC" w:rsidRDefault="00BB3BFC">
      <w:pPr>
        <w:spacing w:line="360" w:lineRule="auto"/>
        <w:rPr>
          <w:rFonts w:ascii="彩虹粗仿宋" w:eastAsia="彩虹粗仿宋"/>
          <w:sz w:val="24"/>
        </w:rPr>
      </w:pPr>
    </w:p>
    <w:p w:rsidR="00BB3BFC" w:rsidRDefault="00934BC8">
      <w:pPr>
        <w:pStyle w:val="2"/>
        <w:spacing w:before="0" w:after="0" w:line="360" w:lineRule="auto"/>
        <w:jc w:val="center"/>
        <w:rPr>
          <w:rFonts w:ascii="彩虹粗仿宋" w:eastAsia="彩虹粗仿宋"/>
          <w:sz w:val="30"/>
        </w:rPr>
      </w:pPr>
      <w:bookmarkStart w:id="59" w:name="_Toc118774805"/>
      <w:bookmarkStart w:id="60" w:name="_Toc86204790"/>
      <w:bookmarkStart w:id="61" w:name="_Toc23247"/>
      <w:bookmarkStart w:id="62" w:name="_Toc118972650"/>
      <w:bookmarkStart w:id="63" w:name="_Toc84133787"/>
      <w:bookmarkStart w:id="64" w:name="_Toc86726441"/>
      <w:bookmarkStart w:id="65" w:name="_Toc86225293"/>
      <w:bookmarkStart w:id="66" w:name="_Toc119402712"/>
      <w:bookmarkStart w:id="67" w:name="_Toc118212952"/>
      <w:bookmarkStart w:id="68" w:name="_Toc110761798"/>
      <w:bookmarkStart w:id="69" w:name="_Toc84234436"/>
      <w:bookmarkStart w:id="70" w:name="_Toc9268"/>
      <w:bookmarkStart w:id="71" w:name="_Toc1124"/>
      <w:bookmarkStart w:id="72" w:name="_Toc86649724"/>
      <w:bookmarkStart w:id="73" w:name="_Toc120435785"/>
      <w:bookmarkStart w:id="74" w:name="_Toc84234389"/>
      <w:bookmarkStart w:id="75" w:name="_Toc108512360"/>
      <w:bookmarkStart w:id="76" w:name="_Toc86727357"/>
      <w:bookmarkStart w:id="77" w:name="_Toc78446128"/>
      <w:bookmarkStart w:id="78" w:name="_Toc86737931"/>
      <w:bookmarkStart w:id="79" w:name="_Toc86223244"/>
      <w:bookmarkStart w:id="80" w:name="_Toc110765662"/>
      <w:bookmarkStart w:id="81" w:name="_Toc89163370"/>
      <w:bookmarkStart w:id="82" w:name="_Toc110830494"/>
      <w:r>
        <w:rPr>
          <w:rFonts w:ascii="彩虹粗仿宋" w:eastAsia="彩虹粗仿宋" w:hint="eastAsia"/>
          <w:sz w:val="30"/>
        </w:rPr>
        <w:t>六、指令的发送、确认及执行</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lastRenderedPageBreak/>
        <w:t>（二）指令的内容</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1.指令的发送</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指令发出后，基金管理人应及时以电话方式或双方认可的其他方式向基金托管人确认。</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w:t>
      </w:r>
      <w:r>
        <w:rPr>
          <w:rFonts w:ascii="彩虹粗仿宋" w:eastAsia="彩虹粗仿宋" w:hAnsi="宋体"/>
          <w:sz w:val="24"/>
        </w:rPr>
        <w:t>应以</w:t>
      </w:r>
      <w:r>
        <w:rPr>
          <w:rFonts w:ascii="彩虹粗仿宋" w:eastAsia="彩虹粗仿宋" w:hAnsi="宋体" w:hint="eastAsia"/>
          <w:sz w:val="24"/>
        </w:rPr>
        <w:t>书面或双方认可的其他方式通知基金托管人。</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2.指令的确认</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w:t>
      </w:r>
      <w:r>
        <w:rPr>
          <w:rFonts w:ascii="彩虹粗仿宋" w:eastAsia="彩虹粗仿宋" w:hAnsi="宋体" w:cs="Arial" w:hint="eastAsia"/>
          <w:sz w:val="24"/>
        </w:rPr>
        <w:lastRenderedPageBreak/>
        <w:t>文件进行表面真实性及权限范围核对，复核无误后应在规定期限内执行，不得延误，如有疑问必须及时通知基金管理人。</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BB3BFC" w:rsidRDefault="00934BC8">
      <w:pPr>
        <w:pStyle w:val="a5"/>
        <w:spacing w:line="36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BB3BFC" w:rsidRDefault="00934BC8">
      <w:pPr>
        <w:pStyle w:val="a5"/>
        <w:spacing w:line="36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若基金托管人发现基金管理人的指令违反法律法规，或者违反《基金合同》约定的，应当视情况</w:t>
      </w:r>
      <w:r>
        <w:rPr>
          <w:rFonts w:ascii="彩虹粗仿宋" w:eastAsia="彩虹粗仿宋" w:hAnsi="宋体" w:cs="Arial"/>
          <w:sz w:val="24"/>
        </w:rPr>
        <w:t>暂缓</w:t>
      </w:r>
      <w:r>
        <w:rPr>
          <w:rFonts w:ascii="彩虹粗仿宋" w:eastAsia="彩虹粗仿宋" w:hAnsi="宋体" w:cs="Arial" w:hint="eastAsia"/>
          <w:sz w:val="24"/>
        </w:rPr>
        <w:t>执行</w:t>
      </w:r>
      <w:r>
        <w:rPr>
          <w:rFonts w:ascii="彩虹粗仿宋" w:eastAsia="彩虹粗仿宋" w:hAnsi="宋体" w:cs="Arial"/>
          <w:sz w:val="24"/>
        </w:rPr>
        <w:t>或者</w:t>
      </w:r>
      <w:r>
        <w:rPr>
          <w:rFonts w:ascii="彩虹粗仿宋" w:eastAsia="彩虹粗仿宋" w:hAnsi="宋体" w:cs="Arial" w:hint="eastAsia"/>
          <w:sz w:val="24"/>
        </w:rPr>
        <w:t>拒绝执行，并立即通知基金管理人。</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lastRenderedPageBreak/>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w:t>
      </w:r>
      <w:r>
        <w:rPr>
          <w:rFonts w:ascii="彩虹粗仿宋" w:eastAsia="彩虹粗仿宋" w:hAnsi="宋体" w:cs="Arial"/>
          <w:sz w:val="24"/>
        </w:rPr>
        <w:t>收</w:t>
      </w:r>
      <w:r>
        <w:rPr>
          <w:rFonts w:ascii="彩虹粗仿宋" w:eastAsia="彩虹粗仿宋" w:hAnsi="宋体" w:cs="Arial" w:hint="eastAsia"/>
          <w:sz w:val="24"/>
        </w:rPr>
        <w:t>基金管理人指令的人员，应提前通过录音电话通知基金管理人。</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（八）其他事项</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BB3BFC" w:rsidRDefault="00BB3BFC">
      <w:pPr>
        <w:adjustRightInd w:val="0"/>
        <w:snapToGrid w:val="0"/>
        <w:spacing w:line="360" w:lineRule="auto"/>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83" w:name="_Toc108512361"/>
      <w:bookmarkStart w:id="84" w:name="_Toc86726442"/>
      <w:bookmarkStart w:id="85" w:name="_Toc86204791"/>
      <w:bookmarkStart w:id="86" w:name="_Toc26557"/>
      <w:bookmarkStart w:id="87" w:name="_Toc86727358"/>
      <w:bookmarkStart w:id="88" w:name="_Toc78446129"/>
      <w:bookmarkStart w:id="89" w:name="_Toc89163371"/>
      <w:bookmarkStart w:id="90" w:name="_Toc110830495"/>
      <w:bookmarkStart w:id="91" w:name="_Toc86649725"/>
      <w:bookmarkStart w:id="92" w:name="_Toc118212953"/>
      <w:bookmarkStart w:id="93" w:name="_Toc120435786"/>
      <w:bookmarkStart w:id="94" w:name="_Toc29390"/>
      <w:bookmarkStart w:id="95" w:name="_Toc86223245"/>
      <w:bookmarkStart w:id="96" w:name="_Toc110765663"/>
      <w:bookmarkStart w:id="97" w:name="_Toc118972651"/>
      <w:bookmarkStart w:id="98" w:name="_Toc110761799"/>
      <w:bookmarkStart w:id="99" w:name="_Toc119402713"/>
      <w:bookmarkStart w:id="100" w:name="_Toc86225294"/>
      <w:bookmarkStart w:id="101" w:name="_Toc86737932"/>
      <w:bookmarkStart w:id="102" w:name="_Toc84234390"/>
      <w:bookmarkStart w:id="103" w:name="_Toc118774806"/>
      <w:bookmarkStart w:id="104" w:name="_Toc84133788"/>
      <w:bookmarkStart w:id="105" w:name="_Toc84234437"/>
      <w:bookmarkStart w:id="106" w:name="_Toc10014"/>
      <w:r>
        <w:rPr>
          <w:rFonts w:ascii="彩虹粗仿宋" w:eastAsia="彩虹粗仿宋" w:hint="eastAsia"/>
          <w:sz w:val="30"/>
        </w:rPr>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B3BFC" w:rsidRDefault="00934BC8">
      <w:pPr>
        <w:spacing w:line="360" w:lineRule="auto"/>
        <w:ind w:firstLineChars="200" w:firstLine="480"/>
        <w:rPr>
          <w:rFonts w:ascii="彩虹粗仿宋" w:eastAsia="彩虹粗仿宋" w:hAnsi="宋体"/>
          <w:bCs/>
          <w:sz w:val="24"/>
        </w:rPr>
      </w:pPr>
      <w:r>
        <w:rPr>
          <w:rFonts w:ascii="彩虹粗仿宋" w:eastAsia="彩虹粗仿宋" w:hAnsi="宋体" w:hint="eastAsia"/>
          <w:sz w:val="24"/>
        </w:rPr>
        <w:t>本产品参与交易所场内证券投资，采取托管人结算模式，</w:t>
      </w:r>
      <w:r>
        <w:rPr>
          <w:rFonts w:ascii="彩虹粗仿宋" w:eastAsia="彩虹粗仿宋" w:hAnsi="宋体" w:hint="eastAsia"/>
          <w:bCs/>
          <w:sz w:val="24"/>
        </w:rPr>
        <w:t>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rsidR="00BB3BFC" w:rsidRDefault="00934BC8">
      <w:pPr>
        <w:spacing w:line="360" w:lineRule="auto"/>
        <w:ind w:firstLineChars="200" w:firstLine="480"/>
        <w:rPr>
          <w:rFonts w:ascii="彩虹粗仿宋" w:eastAsia="彩虹粗仿宋" w:hAnsi="宋体"/>
          <w:sz w:val="24"/>
        </w:rPr>
      </w:pPr>
      <w:r>
        <w:rPr>
          <w:rFonts w:ascii="彩虹粗仿宋" w:eastAsia="彩虹粗仿宋" w:hAnsi="宋体" w:hint="eastAsia"/>
          <w:sz w:val="24"/>
        </w:rPr>
        <w:lastRenderedPageBreak/>
        <w:t>基金管理人、基金托管人应遵守本合同下述（一）和（二）之约定。</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因相关法律法规或交易规则的修改带来的变化以届时有效的法律法规和相关交易规则为准。</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本基金在开始进行期货投资之前，应与基金托管人、期货公司三方一同就期货开户、清算、估值、交收等事宜另行签署《期货投资托管操作三方备忘录》（具体名称以正式签署的文本为准）。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 结算备付金与保证金</w:t>
      </w:r>
    </w:p>
    <w:p w:rsidR="00BB3BFC" w:rsidRDefault="00934BC8">
      <w:pPr>
        <w:adjustRightInd w:val="0"/>
        <w:snapToGrid w:val="0"/>
        <w:spacing w:line="360" w:lineRule="auto"/>
        <w:ind w:firstLine="480"/>
        <w:rPr>
          <w:rFonts w:ascii="彩虹粗仿宋" w:eastAsia="彩虹粗仿宋" w:hAnsi="宋体"/>
          <w:bCs/>
          <w:sz w:val="24"/>
        </w:rPr>
      </w:pPr>
      <w:r>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w:t>
      </w:r>
      <w:r>
        <w:rPr>
          <w:rFonts w:ascii="彩虹粗仿宋" w:eastAsia="彩虹粗仿宋" w:hAnsi="宋体" w:hint="eastAsia"/>
          <w:bCs/>
          <w:sz w:val="24"/>
        </w:rPr>
        <w:t>中国证券登记结算有限责任公司分别于每月前</w:t>
      </w:r>
      <w:r>
        <w:rPr>
          <w:rFonts w:ascii="彩虹粗仿宋" w:eastAsia="彩虹粗仿宋" w:hAnsi="宋体"/>
          <w:bCs/>
          <w:sz w:val="24"/>
        </w:rPr>
        <w:t>6个交易日</w:t>
      </w:r>
      <w:r>
        <w:rPr>
          <w:rFonts w:ascii="彩虹粗仿宋" w:eastAsia="彩虹粗仿宋" w:hAnsi="宋体" w:hint="eastAsia"/>
          <w:bCs/>
          <w:sz w:val="24"/>
        </w:rPr>
        <w:t>及每月前</w:t>
      </w:r>
      <w:r>
        <w:rPr>
          <w:rFonts w:ascii="彩虹粗仿宋" w:eastAsia="彩虹粗仿宋" w:hAnsi="宋体"/>
          <w:bCs/>
          <w:sz w:val="24"/>
        </w:rPr>
        <w:t>3个交易日内，对结算参与人最低备付金限额与结算保证金限额进行重新核</w:t>
      </w:r>
      <w:r>
        <w:rPr>
          <w:rFonts w:ascii="彩虹粗仿宋" w:eastAsia="彩虹粗仿宋" w:hAnsi="宋体"/>
          <w:bCs/>
          <w:sz w:val="24"/>
        </w:rPr>
        <w:lastRenderedPageBreak/>
        <w:t>算、调整。基金托管人</w:t>
      </w:r>
      <w:r>
        <w:rPr>
          <w:rFonts w:ascii="彩虹粗仿宋" w:eastAsia="彩虹粗仿宋" w:hAnsi="宋体" w:hint="eastAsia"/>
          <w:bCs/>
          <w:sz w:val="24"/>
        </w:rPr>
        <w:t>应分别于每月前</w:t>
      </w:r>
      <w:r>
        <w:rPr>
          <w:rFonts w:ascii="彩虹粗仿宋" w:eastAsia="彩虹粗仿宋" w:hAnsi="宋体"/>
          <w:bCs/>
          <w:sz w:val="24"/>
        </w:rPr>
        <w:t>3个交易日内及结算保证金调整当日通过《资金账户报告》通知基金管理人</w:t>
      </w:r>
      <w:r>
        <w:rPr>
          <w:rFonts w:ascii="彩虹粗仿宋" w:eastAsia="彩虹粗仿宋" w:hAnsi="宋体" w:hint="eastAsia"/>
          <w:bCs/>
          <w:sz w:val="24"/>
        </w:rPr>
        <w:t>本基金最低备付金调整金额以及调整后的结算保证金金额</w:t>
      </w:r>
      <w:r>
        <w:rPr>
          <w:rFonts w:ascii="彩虹粗仿宋" w:hAnsi="宋体" w:hint="eastAsia"/>
          <w:sz w:val="24"/>
        </w:rPr>
        <w:t>。</w:t>
      </w:r>
    </w:p>
    <w:p w:rsidR="00BB3BFC" w:rsidRDefault="00934BC8">
      <w:pPr>
        <w:spacing w:line="360" w:lineRule="auto"/>
        <w:ind w:firstLineChars="200" w:firstLine="480"/>
        <w:rPr>
          <w:rFonts w:ascii="彩虹粗仿宋" w:eastAsia="彩虹粗仿宋" w:hAnsi="宋体"/>
          <w:bCs/>
          <w:sz w:val="24"/>
        </w:rPr>
      </w:pPr>
      <w:r>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w:t>
      </w:r>
      <w:r>
        <w:rPr>
          <w:rFonts w:ascii="彩虹粗仿宋" w:eastAsia="彩虹粗仿宋" w:hAnsi="宋体" w:hint="eastAsia"/>
          <w:sz w:val="24"/>
        </w:rPr>
        <w:t>如因调整最低备付金、结算保证金后造成透支，基金管理人应视基金托管人最低结算备付金比例计收方式分别于下列时点补足透支金额：</w:t>
      </w:r>
    </w:p>
    <w:p w:rsidR="00BB3BFC" w:rsidRDefault="00934BC8">
      <w:pPr>
        <w:spacing w:line="360" w:lineRule="auto"/>
        <w:ind w:firstLineChars="200" w:firstLine="480"/>
        <w:rPr>
          <w:rFonts w:ascii="彩虹粗仿宋" w:eastAsia="彩虹粗仿宋" w:hAnsi="宋体"/>
          <w:sz w:val="24"/>
        </w:rPr>
      </w:pPr>
      <w:r>
        <w:rPr>
          <w:rFonts w:ascii="彩虹粗仿宋" w:eastAsia="彩虹粗仿宋" w:hAnsi="宋体" w:hint="eastAsia"/>
          <w:sz w:val="24"/>
        </w:rPr>
        <w:t>（</w:t>
      </w:r>
      <w:r>
        <w:rPr>
          <w:rFonts w:ascii="彩虹粗仿宋" w:eastAsia="彩虹粗仿宋" w:hAnsi="宋体"/>
          <w:sz w:val="24"/>
        </w:rPr>
        <w:t>1）固定备付金比例</w:t>
      </w:r>
      <w:r>
        <w:rPr>
          <w:rFonts w:ascii="彩虹粗仿宋" w:eastAsia="彩虹粗仿宋" w:hAnsi="宋体" w:hint="eastAsia"/>
          <w:sz w:val="24"/>
        </w:rPr>
        <w:t>计收方式下，基金管理人应在调整最低备付金、结算保证金当日上午</w:t>
      </w:r>
      <w:r>
        <w:rPr>
          <w:rFonts w:ascii="彩虹粗仿宋" w:eastAsia="彩虹粗仿宋" w:hAnsi="宋体"/>
          <w:sz w:val="24"/>
        </w:rPr>
        <w:t>11</w:t>
      </w:r>
      <w:r>
        <w:rPr>
          <w:rFonts w:ascii="彩虹粗仿宋" w:eastAsia="彩虹粗仿宋" w:hAnsi="宋体" w:hint="eastAsia"/>
          <w:sz w:val="24"/>
        </w:rPr>
        <w:t>：</w:t>
      </w:r>
      <w:r>
        <w:rPr>
          <w:rFonts w:ascii="彩虹粗仿宋" w:eastAsia="彩虹粗仿宋" w:hAnsi="宋体"/>
          <w:sz w:val="24"/>
        </w:rPr>
        <w:t>00之前补足</w:t>
      </w:r>
      <w:r>
        <w:rPr>
          <w:rFonts w:ascii="彩虹粗仿宋" w:eastAsia="彩虹粗仿宋" w:hAnsi="宋体" w:hint="eastAsia"/>
          <w:sz w:val="24"/>
        </w:rPr>
        <w:t>金额。</w:t>
      </w:r>
    </w:p>
    <w:p w:rsidR="00BB3BFC" w:rsidRDefault="00934BC8">
      <w:pPr>
        <w:adjustRightInd w:val="0"/>
        <w:snapToGrid w:val="0"/>
        <w:ind w:firstLine="480"/>
        <w:rPr>
          <w:rFonts w:ascii="彩虹粗仿宋" w:eastAsia="彩虹粗仿宋" w:hAnsi="宋体" w:cs="Arial"/>
          <w:sz w:val="24"/>
        </w:rPr>
      </w:pPr>
      <w:r>
        <w:rPr>
          <w:rFonts w:ascii="彩虹粗仿宋" w:eastAsia="彩虹粗仿宋" w:hAnsi="宋体" w:hint="eastAsia"/>
          <w:sz w:val="24"/>
        </w:rPr>
        <w:t>（</w:t>
      </w:r>
      <w:r>
        <w:rPr>
          <w:rFonts w:ascii="彩虹粗仿宋" w:eastAsia="彩虹粗仿宋" w:hAnsi="宋体"/>
          <w:sz w:val="24"/>
        </w:rPr>
        <w:t>2）差异化备付金比例</w:t>
      </w:r>
      <w:r>
        <w:rPr>
          <w:rFonts w:ascii="彩虹粗仿宋" w:eastAsia="彩虹粗仿宋" w:hAnsi="宋体" w:hint="eastAsia"/>
          <w:sz w:val="24"/>
        </w:rPr>
        <w:t>计收方式下，基金管理人应最晚于资金交收日上午</w:t>
      </w:r>
      <w:r>
        <w:rPr>
          <w:rFonts w:ascii="彩虹粗仿宋" w:eastAsia="彩虹粗仿宋" w:hAnsi="宋体"/>
          <w:sz w:val="24"/>
        </w:rPr>
        <w:t>8：30前补足金额</w:t>
      </w:r>
      <w:r>
        <w:rPr>
          <w:rFonts w:ascii="彩虹粗仿宋" w:eastAsia="彩虹粗仿宋" w:hAnsi="宋体" w:hint="eastAsia"/>
          <w:sz w:val="24"/>
        </w:rPr>
        <w:t>。</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bCs/>
          <w:sz w:val="24"/>
        </w:rPr>
        <w:t>2、清算交收</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w:t>
      </w:r>
      <w:r>
        <w:rPr>
          <w:rFonts w:ascii="宋体" w:hAnsi="Calibri" w:cs="宋体" w:hint="eastAsia"/>
          <w:color w:val="FF0000"/>
          <w:kern w:val="0"/>
          <w:sz w:val="22"/>
          <w:szCs w:val="22"/>
          <w:u w:val="single"/>
          <w:lang w:val="zh-CN"/>
        </w:rPr>
        <w:t>，</w:t>
      </w:r>
      <w:r>
        <w:rPr>
          <w:rFonts w:ascii="彩虹粗仿宋" w:eastAsia="彩虹粗仿宋" w:hAnsi="宋体" w:cs="Arial" w:hint="eastAsia"/>
          <w:sz w:val="24"/>
        </w:rPr>
        <w:t>但因中国人民银行、中国结算和银行间市场登记结算机构资金结算系统以及其他机构的结算系统发生故障等非基金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w:t>
      </w:r>
      <w:r>
        <w:rPr>
          <w:rFonts w:ascii="彩虹粗仿宋" w:eastAsia="彩虹粗仿宋" w:hAnsi="宋体" w:cs="Arial" w:hint="eastAsia"/>
          <w:sz w:val="24"/>
        </w:rPr>
        <w:lastRenderedPageBreak/>
        <w:t>联系方式畅通，后续补缴等事宜由基金管理人负责解决，由此给基金托管人、本基金和基金托管人托管的其他资产造成的直接损失由基金管理人承担。</w:t>
      </w:r>
    </w:p>
    <w:p w:rsidR="00BB3BFC" w:rsidRDefault="00934BC8">
      <w:pPr>
        <w:spacing w:line="360" w:lineRule="auto"/>
        <w:ind w:firstLineChars="200" w:firstLine="480"/>
        <w:rPr>
          <w:rFonts w:ascii="彩虹粗仿宋" w:eastAsia="彩虹粗仿宋" w:hAnsi="宋体"/>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w:t>
      </w:r>
      <w:r>
        <w:rPr>
          <w:rFonts w:ascii="彩虹粗仿宋" w:hAnsi="宋体" w:hint="eastAsia"/>
          <w:sz w:val="24"/>
        </w:rPr>
        <w:t>基金管理人应</w:t>
      </w:r>
      <w:r>
        <w:rPr>
          <w:rFonts w:ascii="彩虹粗仿宋" w:eastAsia="彩虹粗仿宋" w:hAnsi="宋体" w:hint="eastAsia"/>
          <w:sz w:val="24"/>
        </w:rPr>
        <w:t>视基金托管</w:t>
      </w:r>
      <w:r>
        <w:rPr>
          <w:rFonts w:ascii="彩虹粗仿宋" w:eastAsia="彩虹粗仿宋" w:hAnsi="宋体"/>
          <w:sz w:val="24"/>
        </w:rPr>
        <w:t>人</w:t>
      </w:r>
      <w:r>
        <w:rPr>
          <w:rFonts w:ascii="彩虹粗仿宋" w:eastAsia="彩虹粗仿宋" w:hAnsi="宋体" w:hint="eastAsia"/>
          <w:sz w:val="24"/>
        </w:rPr>
        <w:t>最低结算备付金比例计收方式分别于下列时点补足透支金额：</w:t>
      </w:r>
    </w:p>
    <w:p w:rsidR="00BB3BFC" w:rsidRDefault="00934BC8">
      <w:pPr>
        <w:spacing w:line="360" w:lineRule="auto"/>
        <w:ind w:firstLineChars="200" w:firstLine="480"/>
        <w:rPr>
          <w:rFonts w:ascii="彩虹粗仿宋" w:eastAsia="彩虹粗仿宋" w:hAnsi="宋体"/>
          <w:sz w:val="24"/>
        </w:rPr>
      </w:pPr>
      <w:r>
        <w:rPr>
          <w:rFonts w:ascii="彩虹粗仿宋" w:eastAsia="彩虹粗仿宋" w:hAnsi="宋体" w:hint="eastAsia"/>
          <w:sz w:val="24"/>
        </w:rPr>
        <w:t>（</w:t>
      </w:r>
      <w:r>
        <w:rPr>
          <w:rFonts w:ascii="彩虹粗仿宋" w:eastAsia="彩虹粗仿宋" w:hAnsi="宋体"/>
          <w:sz w:val="24"/>
        </w:rPr>
        <w:t>1）固定备付金比例计收方式下，</w:t>
      </w:r>
      <w:r>
        <w:rPr>
          <w:rFonts w:ascii="彩虹粗仿宋" w:eastAsia="彩虹粗仿宋" w:hAnsi="宋体" w:hint="eastAsia"/>
          <w:sz w:val="24"/>
        </w:rPr>
        <w:t>基金</w:t>
      </w:r>
      <w:r>
        <w:rPr>
          <w:rFonts w:ascii="彩虹粗仿宋" w:eastAsia="彩虹粗仿宋" w:hAnsi="宋体"/>
          <w:sz w:val="24"/>
        </w:rPr>
        <w:t>管理人应</w:t>
      </w:r>
      <w:r>
        <w:rPr>
          <w:rFonts w:ascii="彩虹粗仿宋" w:eastAsia="彩虹粗仿宋" w:hAnsi="宋体" w:hint="eastAsia"/>
          <w:sz w:val="24"/>
        </w:rPr>
        <w:t>最晚于资金交收日上午</w:t>
      </w:r>
      <w:r>
        <w:rPr>
          <w:rFonts w:ascii="彩虹粗仿宋" w:eastAsia="彩虹粗仿宋" w:hAnsi="宋体"/>
          <w:sz w:val="24"/>
        </w:rPr>
        <w:t>11</w:t>
      </w:r>
      <w:r>
        <w:rPr>
          <w:rFonts w:ascii="彩虹粗仿宋" w:eastAsia="彩虹粗仿宋" w:hAnsi="宋体" w:hint="eastAsia"/>
          <w:sz w:val="24"/>
        </w:rPr>
        <w:t>：</w:t>
      </w:r>
      <w:r>
        <w:rPr>
          <w:rFonts w:ascii="彩虹粗仿宋" w:eastAsia="彩虹粗仿宋" w:hAnsi="宋体"/>
          <w:sz w:val="24"/>
        </w:rPr>
        <w:t>00前补足金额。</w:t>
      </w:r>
    </w:p>
    <w:p w:rsidR="00BB3BFC" w:rsidRDefault="00934BC8">
      <w:pPr>
        <w:adjustRightInd w:val="0"/>
        <w:snapToGrid w:val="0"/>
        <w:ind w:firstLine="480"/>
        <w:rPr>
          <w:rFonts w:ascii="彩虹粗仿宋" w:eastAsia="彩虹粗仿宋" w:hAnsi="宋体" w:cs="宋体"/>
          <w:color w:val="000000"/>
          <w:kern w:val="0"/>
          <w:sz w:val="24"/>
        </w:rPr>
      </w:pPr>
      <w:r>
        <w:rPr>
          <w:rFonts w:ascii="彩虹粗仿宋" w:eastAsia="彩虹粗仿宋" w:hAnsi="宋体" w:hint="eastAsia"/>
          <w:sz w:val="24"/>
        </w:rPr>
        <w:t>（</w:t>
      </w:r>
      <w:r>
        <w:rPr>
          <w:rFonts w:ascii="彩虹粗仿宋" w:eastAsia="彩虹粗仿宋" w:hAnsi="宋体"/>
          <w:sz w:val="24"/>
        </w:rPr>
        <w:t>2）差异化备付金比例计收方式下，</w:t>
      </w:r>
      <w:r>
        <w:rPr>
          <w:rFonts w:ascii="彩虹粗仿宋" w:eastAsia="彩虹粗仿宋" w:hAnsi="宋体" w:hint="eastAsia"/>
          <w:sz w:val="24"/>
        </w:rPr>
        <w:t>基金</w:t>
      </w:r>
      <w:r>
        <w:rPr>
          <w:rFonts w:ascii="彩虹粗仿宋" w:eastAsia="彩虹粗仿宋" w:hAnsi="宋体"/>
          <w:sz w:val="24"/>
        </w:rPr>
        <w:t>管理人应最晚于资金交收日</w:t>
      </w:r>
      <w:r>
        <w:rPr>
          <w:rFonts w:ascii="彩虹粗仿宋" w:eastAsia="彩虹粗仿宋" w:hAnsi="宋体" w:hint="eastAsia"/>
          <w:sz w:val="24"/>
        </w:rPr>
        <w:t>上午</w:t>
      </w:r>
      <w:r>
        <w:rPr>
          <w:rFonts w:ascii="彩虹粗仿宋" w:eastAsia="彩虹粗仿宋" w:hAnsi="宋体"/>
          <w:sz w:val="24"/>
        </w:rPr>
        <w:t>8：30前补足金额</w:t>
      </w:r>
      <w:r>
        <w:rPr>
          <w:rFonts w:ascii="彩虹粗仿宋" w:eastAsia="彩虹粗仿宋" w:hAnsi="宋体" w:cs="宋体" w:hint="eastAsia"/>
          <w:color w:val="000000"/>
          <w:kern w:val="0"/>
          <w:sz w:val="24"/>
        </w:rPr>
        <w:t>。</w:t>
      </w:r>
    </w:p>
    <w:p w:rsidR="00BB3BFC" w:rsidRDefault="00934BC8">
      <w:pPr>
        <w:adjustRightInd w:val="0"/>
        <w:snapToGrid w:val="0"/>
        <w:spacing w:line="360" w:lineRule="auto"/>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如果基金管理人未遵循上述规定备足资金头寸，影响基金资产的清算交收及基金托管人与中国证券登记结算有限责任公司之间的一级清算，由此给基金托管人、基金资产</w:t>
      </w:r>
      <w:r>
        <w:rPr>
          <w:rFonts w:ascii="彩虹粗仿宋" w:eastAsia="彩虹粗仿宋" w:hAnsi="宋体" w:cs="Arial" w:hint="eastAsia"/>
          <w:sz w:val="24"/>
        </w:rPr>
        <w:t>和基金托管人托管的其他资产</w:t>
      </w:r>
      <w:r>
        <w:rPr>
          <w:rFonts w:ascii="彩虹粗仿宋" w:eastAsia="彩虹粗仿宋" w:hAnsi="宋体" w:cs="宋体" w:hint="eastAsia"/>
          <w:color w:val="000000"/>
          <w:kern w:val="0"/>
          <w:sz w:val="24"/>
        </w:rPr>
        <w:t>造成的直接损失由基金管理人负责。</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rPr>
        <w:t>对于中国证券登记结算有限责任公司实行T+0非担保交收的业务，基金管理人应在交易日14：00前将划款指令发送至托管人。因基金管理人指令传输不及时，致使资金未能及时划入中国证券登记结算有限责任公司所造成的损失由基金管理人承担，包括赔偿在该市场引起其他托管客户交易失败、赔偿因占用结算参与人最低备付金带来的利息损失。</w:t>
      </w:r>
      <w:r>
        <w:rPr>
          <w:rFonts w:ascii="彩虹粗仿宋" w:eastAsia="彩虹粗仿宋" w:hAnsi="宋体" w:cs="Arial" w:hint="eastAsia"/>
          <w:sz w:val="24"/>
        </w:rPr>
        <w:t>2.交易记录、资金和证券/期货账目核对的时间和方式</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int="eastAsia"/>
          <w:kern w:val="0"/>
          <w:sz w:val="24"/>
        </w:rPr>
        <w:lastRenderedPageBreak/>
        <w:t>基金管理人按日进行交易记录的核对。对外披露基金份额净值之前，必须保证当天所有实际交易记录与基金会计账簿上的交易记录完全一致。如果实际交易记录与会计账簿记录不一致，造成基金会计核算不完整或不真实，由此导致的损失由管理人承担。</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资金账目按日核实，账实相符。</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（3）证券/期货账目的核对</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基金管理人和基金托管人每交易日结束后核对基金证券/期货账目，确保双方账目相符。基金管理人和基金托管人每月月末核对实物证券账目。</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w:t>
      </w:r>
      <w:r>
        <w:rPr>
          <w:rFonts w:ascii="彩虹粗仿宋" w:eastAsia="彩虹粗仿宋" w:hAnsi="宋体" w:cs="Arial" w:hint="eastAsia"/>
          <w:sz w:val="24"/>
        </w:rPr>
        <w:lastRenderedPageBreak/>
        <w:t>事宜按时进行。否则，由基金管理人承担相应的责任。</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和配合。</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基金托管人应及时通知基金管理人；如系基金管理人的原因造成，责任由基金管理人承担，基金托管人不承担垫款义务。</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9.资金指令</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w:t>
      </w:r>
      <w:r>
        <w:rPr>
          <w:rFonts w:ascii="彩虹粗仿宋" w:eastAsia="彩虹粗仿宋" w:hAnsi="宋体" w:cs="Arial" w:hint="eastAsia"/>
          <w:sz w:val="24"/>
        </w:rPr>
        <w:lastRenderedPageBreak/>
        <w:t>管人，基金托管人按基金管理人的划款指令将托管账户净应付额在T日12:00之前划往基金清算账户。</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（五）基金转换</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Pr>
          <w:rFonts w:ascii="彩虹粗仿宋" w:eastAsia="彩虹粗仿宋" w:hint="eastAsia"/>
          <w:sz w:val="24"/>
        </w:rPr>
        <w:t>规定</w:t>
      </w:r>
      <w:r>
        <w:rPr>
          <w:rFonts w:ascii="彩虹粗仿宋" w:eastAsia="彩虹粗仿宋" w:hint="eastAsia"/>
          <w:sz w:val="24"/>
          <w:szCs w:val="18"/>
        </w:rPr>
        <w:t>媒介上公告</w:t>
      </w:r>
      <w:r>
        <w:rPr>
          <w:rFonts w:ascii="彩虹粗仿宋" w:eastAsia="彩虹粗仿宋" w:hAnsi="宋体" w:cs="Arial" w:hint="eastAsia"/>
          <w:sz w:val="24"/>
        </w:rPr>
        <w:t>。</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BB3BFC" w:rsidRDefault="00934BC8">
      <w:pPr>
        <w:spacing w:line="360" w:lineRule="auto"/>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BB3BFC" w:rsidRDefault="00934BC8">
      <w:pPr>
        <w:spacing w:line="360" w:lineRule="auto"/>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BB3BFC" w:rsidRDefault="00934BC8">
      <w:pPr>
        <w:spacing w:line="360" w:lineRule="auto"/>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BB3BFC" w:rsidRDefault="00934BC8">
      <w:pPr>
        <w:spacing w:line="360" w:lineRule="auto"/>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BB3BFC" w:rsidRDefault="00934BC8">
      <w:pPr>
        <w:spacing w:line="360" w:lineRule="auto"/>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w:t>
      </w:r>
      <w:r>
        <w:rPr>
          <w:rFonts w:ascii="彩虹粗仿宋" w:eastAsia="彩虹粗仿宋" w:hAnsi="宋体" w:cs="Arial" w:hint="eastAsia"/>
          <w:sz w:val="24"/>
        </w:rPr>
        <w:lastRenderedPageBreak/>
        <w:t>存款进行更名、转让、挂失、质押、担保、撤销、变更印鉴及回款账户信息等可能导致财产转移的操作申请。</w:t>
      </w:r>
    </w:p>
    <w:p w:rsidR="00BB3BFC" w:rsidRDefault="00934BC8">
      <w:pPr>
        <w:spacing w:line="360" w:lineRule="auto"/>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BB3BFC" w:rsidRDefault="00934BC8">
      <w:pPr>
        <w:spacing w:line="360" w:lineRule="auto"/>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BB3BFC" w:rsidRDefault="00934BC8">
      <w:pPr>
        <w:adjustRightInd w:val="0"/>
        <w:snapToGrid w:val="0"/>
        <w:spacing w:line="360" w:lineRule="auto"/>
        <w:ind w:firstLineChars="200" w:firstLine="480"/>
        <w:rPr>
          <w:rFonts w:ascii="彩虹粗仿宋" w:eastAsia="彩虹粗仿宋" w:hAnsi="宋体" w:cs="Arial"/>
          <w:sz w:val="24"/>
        </w:rPr>
      </w:pPr>
      <w:bookmarkStart w:id="107" w:name="_Toc78446130"/>
      <w:bookmarkStart w:id="108" w:name="_Toc28068"/>
      <w:r>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w:t>
      </w:r>
      <w:r>
        <w:rPr>
          <w:rFonts w:ascii="彩虹粗仿宋" w:eastAsia="彩虹粗仿宋" w:hAnsi="宋体" w:cs="Arial" w:hint="eastAsia"/>
          <w:sz w:val="24"/>
        </w:rPr>
        <w:lastRenderedPageBreak/>
        <w:t>及因发生特殊情况由基金管理人提供相关书面说明并重新承诺送单截止时间的，可剔除不计。</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（八）托管基金通过第三方销售机构参与开放式基金投资的特别约定</w:t>
      </w:r>
      <w:r>
        <w:rPr>
          <w:rFonts w:ascii="彩虹粗仿宋" w:eastAsia="彩虹粗仿宋" w:hAnsi="宋体" w:cs="Arial"/>
          <w:sz w:val="24"/>
        </w:rPr>
        <w:t xml:space="preserve"> </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可以通过第三方基金销售机构渠道投资开放式基金。为维护产品持有人利益、保障资产安全，基金管理人应负责制订选择第三方基金销售机构的标准和程序，并据此选择第三方销售机构。对于第三方基金销售机构原因给本产品造成损失的，相关责任由基金管理人承担。</w:t>
      </w:r>
    </w:p>
    <w:p w:rsidR="00BB3BFC" w:rsidRDefault="00BB3BFC">
      <w:pPr>
        <w:adjustRightInd w:val="0"/>
        <w:snapToGrid w:val="0"/>
        <w:spacing w:line="360" w:lineRule="auto"/>
        <w:ind w:firstLineChars="200" w:firstLine="480"/>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rPr>
      </w:pPr>
      <w:bookmarkStart w:id="109" w:name="_Toc8092"/>
      <w:bookmarkStart w:id="110" w:name="_Toc29093"/>
      <w:r>
        <w:rPr>
          <w:rFonts w:ascii="彩虹粗仿宋" w:eastAsia="彩虹粗仿宋" w:hint="eastAsia"/>
        </w:rPr>
        <w:t>八、基金资产净值计算和会计核算</w:t>
      </w:r>
      <w:bookmarkEnd w:id="107"/>
      <w:bookmarkEnd w:id="108"/>
      <w:bookmarkEnd w:id="109"/>
      <w:bookmarkEnd w:id="110"/>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1.基金资产净值是指基金资产总值减去基金负债后的价值。各类基金份额净值是按照每个工作日闭市后，该类基金份额的基金资产净值除以当日该类基金份额的余额数量计算，均精确到0.00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w:t>
      </w:r>
      <w:r>
        <w:rPr>
          <w:rFonts w:ascii="彩虹粗仿宋" w:eastAsia="彩虹粗仿宋" w:hAnsi="宋体" w:cs="Arial" w:hint="eastAsia"/>
          <w:bCs/>
          <w:sz w:val="24"/>
        </w:rPr>
        <w:t>，由此产生的误差计入基金财产</w:t>
      </w:r>
      <w:r>
        <w:rPr>
          <w:rFonts w:ascii="彩虹粗仿宋" w:eastAsia="彩虹粗仿宋" w:hAnsi="宋体" w:cs="Arial" w:hint="eastAsia"/>
          <w:sz w:val="24"/>
        </w:rPr>
        <w:t>。基金管理人可以设立大额赎回情形下的净值精度应急调整机制。国家另有规定的，从其规定。</w:t>
      </w:r>
    </w:p>
    <w:p w:rsidR="00BB3BFC" w:rsidRDefault="00934BC8">
      <w:pPr>
        <w:adjustRightInd w:val="0"/>
        <w:snapToGrid w:val="0"/>
        <w:spacing w:line="360" w:lineRule="auto"/>
        <w:ind w:firstLineChars="200" w:firstLine="480"/>
        <w:rPr>
          <w:rFonts w:ascii="彩虹粗仿宋" w:eastAsia="彩虹粗仿宋" w:hAnsi="宋体" w:cs="Arial"/>
          <w:sz w:val="24"/>
        </w:rPr>
      </w:pPr>
      <w:bookmarkStart w:id="111" w:name="_Hlk107737897"/>
      <w:r>
        <w:rPr>
          <w:rFonts w:ascii="彩虹粗仿宋" w:eastAsia="彩虹粗仿宋" w:hAnsi="宋体" w:cs="Arial" w:hint="eastAsia"/>
          <w:sz w:val="24"/>
        </w:rPr>
        <w:t>基金管理人每个工作日计算基金资产净值及各类基金份额净值，并按规定公告。</w:t>
      </w:r>
    </w:p>
    <w:bookmarkEnd w:id="111"/>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rsidR="00BB3BFC" w:rsidRDefault="00934BC8">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BB3BFC" w:rsidRDefault="00934BC8">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sz w:val="24"/>
        </w:rPr>
        <w:lastRenderedPageBreak/>
        <w:t>基金所拥</w:t>
      </w:r>
      <w:r>
        <w:rPr>
          <w:rFonts w:ascii="彩虹粗仿宋" w:eastAsia="彩虹粗仿宋" w:hAnsi="宋体" w:cs="Arial" w:hint="eastAsia"/>
          <w:bCs/>
          <w:sz w:val="24"/>
        </w:rPr>
        <w:t>有的股票、</w:t>
      </w:r>
      <w:r>
        <w:rPr>
          <w:rFonts w:ascii="彩虹粗仿宋" w:eastAsia="彩虹粗仿宋" w:hAnsi="宋体" w:cs="Arial"/>
          <w:bCs/>
          <w:sz w:val="24"/>
        </w:rPr>
        <w:t>存托凭证</w:t>
      </w:r>
      <w:r>
        <w:rPr>
          <w:rFonts w:ascii="彩虹粗仿宋" w:eastAsia="彩虹粗仿宋" w:hAnsi="宋体" w:cs="Arial" w:hint="eastAsia"/>
          <w:bCs/>
          <w:sz w:val="24"/>
        </w:rPr>
        <w:t>、国债期货、债券、</w:t>
      </w:r>
      <w:r>
        <w:rPr>
          <w:rFonts w:ascii="彩虹粗仿宋" w:eastAsia="彩虹粗仿宋" w:hAnsi="宋体" w:cs="Arial"/>
          <w:bCs/>
          <w:sz w:val="24"/>
        </w:rPr>
        <w:t>资产支持证券</w:t>
      </w:r>
      <w:r>
        <w:rPr>
          <w:rFonts w:ascii="彩虹粗仿宋" w:eastAsia="彩虹粗仿宋" w:hAnsi="宋体" w:cs="Arial" w:hint="eastAsia"/>
          <w:bCs/>
          <w:sz w:val="24"/>
        </w:rPr>
        <w:t>和银行存款本息、应收款项、其它投资等资产及负债。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已</w:t>
      </w:r>
      <w:r>
        <w:rPr>
          <w:rFonts w:ascii="彩虹粗仿宋" w:eastAsia="彩虹粗仿宋" w:hAnsi="宋体" w:cs="Arial" w:hint="eastAsia"/>
          <w:sz w:val="24"/>
        </w:rPr>
        <w:t>上市的有价证券的估值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 xml:space="preserve">) </w:t>
      </w:r>
      <w:bookmarkStart w:id="112" w:name="_Hlk135141607"/>
      <w:r>
        <w:rPr>
          <w:rFonts w:ascii="彩虹粗仿宋" w:eastAsia="彩虹粗仿宋" w:hAnsi="宋体" w:cs="Arial" w:hint="eastAsia"/>
          <w:sz w:val="24"/>
        </w:rPr>
        <w:t>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bookmarkEnd w:id="112"/>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对于已上市或已挂牌转让的不含权固定收益品种，选取第三方估值基准服务机构提供的相应品种当日的估值全价；对于已上市或已挂牌转让的含权固定收益品种，选取第三方估值基准服务机构提供的相应品种当日的唯一估值全价或推荐估值全价；</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微软雅黑" w:eastAsia="微软雅黑" w:hAnsi="微软雅黑" w:cs="Arial" w:hint="eastAsia"/>
          <w:sz w:val="24"/>
        </w:rPr>
        <w:t>3</w:t>
      </w:r>
      <w:r>
        <w:rPr>
          <w:rFonts w:ascii="微软雅黑" w:eastAsia="微软雅黑" w:hAnsi="微软雅黑" w:cs="Arial"/>
          <w:sz w:val="24"/>
        </w:rPr>
        <w:t xml:space="preserve">) </w:t>
      </w:r>
      <w:bookmarkStart w:id="113" w:name="_Hlk135141640"/>
      <w:r>
        <w:rPr>
          <w:rFonts w:ascii="彩虹粗仿宋" w:eastAsia="彩虹粗仿宋" w:hAnsi="宋体" w:cs="Arial"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bookmarkEnd w:id="113"/>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BB3BFC" w:rsidRDefault="00934BC8">
      <w:pPr>
        <w:spacing w:line="360" w:lineRule="auto"/>
        <w:ind w:firstLineChars="200" w:firstLine="480"/>
        <w:rPr>
          <w:rFonts w:ascii="彩虹粗仿宋" w:eastAsia="彩虹粗仿宋" w:hAnsi="宋体" w:cs="Arial"/>
          <w:sz w:val="24"/>
        </w:rPr>
      </w:pPr>
      <w:r>
        <w:rPr>
          <w:rFonts w:ascii="彩虹粗仿宋" w:eastAsia="彩虹粗仿宋" w:hAnsi="宋体" w:cs="Arial"/>
          <w:sz w:val="24"/>
        </w:rPr>
        <w:t>1）</w:t>
      </w:r>
      <w:bookmarkStart w:id="114" w:name="_Hlk135141685"/>
      <w:r>
        <w:rPr>
          <w:rFonts w:ascii="彩虹粗仿宋" w:eastAsia="彩虹粗仿宋" w:hAnsi="宋体" w:cs="Arial"/>
          <w:sz w:val="24"/>
        </w:rPr>
        <w:t>送股、转增股、配股和公开增发的新股，按估值日在证券交易所挂牌的同一股票的估值方法估值；该日无交易的，以最近一日的收盘价估值</w:t>
      </w:r>
      <w:r>
        <w:rPr>
          <w:rFonts w:ascii="彩虹粗仿宋" w:eastAsia="彩虹粗仿宋" w:hAnsi="宋体" w:cs="Arial" w:hint="eastAsia"/>
          <w:sz w:val="24"/>
        </w:rPr>
        <w:t>。</w:t>
      </w:r>
      <w:bookmarkEnd w:id="114"/>
    </w:p>
    <w:p w:rsidR="00BB3BFC" w:rsidRDefault="00934BC8">
      <w:pPr>
        <w:spacing w:line="360" w:lineRule="auto"/>
        <w:ind w:firstLineChars="200" w:firstLine="480"/>
        <w:rPr>
          <w:rFonts w:ascii="彩虹粗仿宋" w:eastAsia="彩虹粗仿宋" w:hAnsi="宋体" w:cs="Arial"/>
          <w:sz w:val="24"/>
        </w:rPr>
      </w:pPr>
      <w:r>
        <w:rPr>
          <w:rFonts w:ascii="彩虹粗仿宋" w:eastAsia="彩虹粗仿宋" w:hAnsi="宋体" w:cs="Arial"/>
          <w:sz w:val="24"/>
        </w:rPr>
        <w:t>2）</w:t>
      </w:r>
      <w:bookmarkStart w:id="115" w:name="_Hlk135141698"/>
      <w:r>
        <w:rPr>
          <w:rFonts w:ascii="彩虹粗仿宋" w:eastAsia="彩虹粗仿宋" w:hAnsi="宋体" w:cs="Arial"/>
          <w:sz w:val="24"/>
        </w:rPr>
        <w:t>首次公开发行未上市的股票，采用估值技术确定公允价值，在估值技术难以可靠计量公允价值的情况下，按成本估值。</w:t>
      </w:r>
    </w:p>
    <w:bookmarkEnd w:id="115"/>
    <w:p w:rsidR="00BB3BFC" w:rsidRDefault="00934BC8">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w:t>
      </w:r>
      <w:r>
        <w:rPr>
          <w:rFonts w:ascii="彩虹粗仿宋" w:eastAsia="彩虹粗仿宋" w:hAnsi="宋体" w:cs="Arial"/>
          <w:sz w:val="24"/>
        </w:rPr>
        <w:t>）</w:t>
      </w:r>
      <w:bookmarkStart w:id="116" w:name="_Hlk135141708"/>
      <w:r>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bookmarkEnd w:id="116"/>
    <w:p w:rsidR="00BB3BFC" w:rsidRDefault="00934BC8">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bookmarkStart w:id="117" w:name="_Hlk135141718"/>
      <w:r>
        <w:rPr>
          <w:rFonts w:ascii="彩虹粗仿宋" w:eastAsia="彩虹粗仿宋" w:hAnsi="宋体" w:cs="Arial" w:hint="eastAsia"/>
          <w:sz w:val="24"/>
        </w:rPr>
        <w:t>对于未上市或未挂牌转让且不存在活跃市场的有价证券，应采用在当前情况下适用并且有足够可利用数据和其他信息支持的估值技术确定其公允价值。</w:t>
      </w:r>
    </w:p>
    <w:bookmarkEnd w:id="117"/>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bookmarkStart w:id="118" w:name="_Hlk135141733"/>
      <w:r>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bookmarkEnd w:id="118"/>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bookmarkStart w:id="119" w:name="_Hlk135141751"/>
      <w:r>
        <w:rPr>
          <w:rFonts w:ascii="彩虹粗仿宋" w:eastAsia="彩虹粗仿宋" w:hAnsi="宋体" w:cs="Arial" w:hint="eastAsia"/>
          <w:sz w:val="24"/>
        </w:rPr>
        <w:t>持有的银行定期存款、协议存款或通知存款以本金列示，按协议或合同利率逐日确认利息收入。</w:t>
      </w:r>
    </w:p>
    <w:bookmarkEnd w:id="119"/>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w:t>
      </w:r>
      <w:bookmarkStart w:id="120" w:name="_Hlk135141762"/>
      <w:r>
        <w:rPr>
          <w:rFonts w:ascii="彩虹粗仿宋" w:eastAsia="彩虹粗仿宋" w:hAnsi="宋体" w:cs="Arial" w:hint="eastAsia"/>
          <w:sz w:val="24"/>
        </w:rPr>
        <w:t>同一证券同时在两个或两个以上市场交易的，按证券所处的市场分别估值。</w:t>
      </w:r>
    </w:p>
    <w:bookmarkEnd w:id="120"/>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）估值计算中涉及港币对人民币汇率的，将依据下列信息提供机构所提供的汇率为基准：当日中国人民银行或其授权机构公布的人民币与港币的中间价。</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）期货合约以估值当日结算价进行估值，估值当日无结算价的，且最近</w:t>
      </w:r>
      <w:r>
        <w:rPr>
          <w:rFonts w:ascii="彩虹粗仿宋" w:eastAsia="彩虹粗仿宋" w:hAnsi="宋体" w:cs="Arial" w:hint="eastAsia"/>
          <w:sz w:val="24"/>
        </w:rPr>
        <w:lastRenderedPageBreak/>
        <w:t>交易日后经济环境未发生重大变化的，采用最近交易日结算价估值。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）本基金投资存托凭证的估值核算，依照境内上市交易的股票执行。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11</w:t>
      </w:r>
      <w:r>
        <w:rPr>
          <w:rFonts w:ascii="彩虹粗仿宋" w:eastAsia="彩虹粗仿宋" w:hAnsi="宋体" w:cs="Arial" w:hint="eastAsia"/>
          <w:sz w:val="24"/>
        </w:rPr>
        <w:t>）当发生大额申购或赎回情形时，基金管理人可以采用摆动定价机制，以确保基金估值的公平性。</w:t>
      </w:r>
    </w:p>
    <w:p w:rsidR="00BB3BFC" w:rsidRDefault="00934BC8">
      <w:pPr>
        <w:adjustRightInd w:val="0"/>
        <w:snapToGrid w:val="0"/>
        <w:spacing w:line="360" w:lineRule="auto"/>
        <w:ind w:firstLineChars="200" w:firstLine="480"/>
        <w:rPr>
          <w:rFonts w:ascii="彩虹粗仿宋" w:eastAsia="彩虹粗仿宋" w:hAnsi="宋体" w:cs="Arial"/>
          <w:sz w:val="24"/>
        </w:rPr>
      </w:pPr>
      <w:bookmarkStart w:id="121" w:name="_Hlk135141840"/>
      <w:r>
        <w:rPr>
          <w:rFonts w:ascii="彩虹粗仿宋" w:eastAsia="彩虹粗仿宋" w:hAnsi="宋体" w:cs="Arial" w:hint="eastAsia"/>
          <w:sz w:val="24"/>
        </w:rPr>
        <w:t>（</w:t>
      </w:r>
      <w:r>
        <w:rPr>
          <w:rFonts w:ascii="彩虹粗仿宋" w:eastAsia="彩虹粗仿宋" w:hAnsi="宋体" w:cs="Arial"/>
          <w:sz w:val="24"/>
        </w:rPr>
        <w:t>12</w:t>
      </w:r>
      <w:r>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bookmarkEnd w:id="121"/>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相关法律法规以及监管部门有强制规定的，从其规定。如有新增事项，按国家最新规定估值。</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B3BFC" w:rsidRDefault="00934BC8">
      <w:pPr>
        <w:adjustRightInd w:val="0"/>
        <w:snapToGrid w:val="0"/>
        <w:spacing w:line="360" w:lineRule="auto"/>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由此给基金份额持有人和基金造成的损失以及因该交易日基金净值计算顺延错误而引起的损失，由基金管理人负责赔付，基金托管人不</w:t>
      </w:r>
      <w:r>
        <w:rPr>
          <w:rFonts w:ascii="彩虹粗仿宋" w:eastAsia="彩虹粗仿宋" w:hint="eastAsia"/>
          <w:sz w:val="24"/>
          <w:szCs w:val="21"/>
        </w:rPr>
        <w:lastRenderedPageBreak/>
        <w:t>承担任何责任。</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3.特殊情形的处理</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w:t>
      </w:r>
      <w:r>
        <w:rPr>
          <w:rFonts w:ascii="彩虹粗仿宋" w:eastAsia="彩虹粗仿宋" w:hAnsi="宋体" w:cs="Arial"/>
          <w:sz w:val="24"/>
        </w:rPr>
        <w:t>或</w:t>
      </w:r>
      <w:r>
        <w:rPr>
          <w:rFonts w:ascii="彩虹粗仿宋" w:eastAsia="彩虹粗仿宋" w:hAnsi="宋体" w:cs="Arial" w:hint="eastAsia"/>
          <w:sz w:val="24"/>
        </w:rPr>
        <w:t>基金托管人按估值方法的第(</w:t>
      </w:r>
      <w:r>
        <w:rPr>
          <w:rStyle w:val="read"/>
          <w:rFonts w:ascii="彩虹粗仿宋" w:eastAsia="彩虹粗仿宋" w:hAnsi="宋体" w:cs="Arial"/>
          <w:sz w:val="24"/>
        </w:rPr>
        <w:t>10</w:t>
      </w:r>
      <w:r>
        <w:rPr>
          <w:rStyle w:val="read"/>
          <w:rFonts w:ascii="彩虹粗仿宋" w:eastAsia="彩虹粗仿宋" w:hAnsi="宋体" w:cs="Arial" w:hint="eastAsia"/>
          <w:sz w:val="24"/>
        </w:rPr>
        <w:t>、</w:t>
      </w:r>
      <w:r>
        <w:rPr>
          <w:rFonts w:ascii="彩虹粗仿宋" w:eastAsia="彩虹粗仿宋" w:hAnsi="宋体" w:cs="Arial"/>
          <w:sz w:val="24"/>
        </w:rPr>
        <w:t>11</w:t>
      </w:r>
      <w:r>
        <w:rPr>
          <w:rFonts w:ascii="彩虹粗仿宋" w:eastAsia="彩虹粗仿宋" w:hAnsi="宋体" w:cs="Arial" w:hint="eastAsia"/>
          <w:sz w:val="24"/>
        </w:rPr>
        <w:t>)项进行估值时，所造成的误差不作为基金资产估值错误处理。</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2）由于不可抗力，或证券交易所</w:t>
      </w:r>
      <w:r>
        <w:rPr>
          <w:rFonts w:ascii="彩虹粗仿宋" w:eastAsia="彩虹粗仿宋" w:hAnsi="宋体" w:cs="Arial" w:hint="eastAsia"/>
          <w:sz w:val="24"/>
        </w:rPr>
        <w:t>、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该错误或因前述原因未能避免或更正错误的，由此造成的基金财产估值错误，基金管理人和基金托管人可以免除赔偿责任。但基金管理人、基金托管人应当积极采取必要的措施消除或减轻由此造成的影响。</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1.当任一类基金份额净值小数点后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该类基金份额净值错误；任一类基金份额净值计算出现错误时，基金管理人应当立即予以纠正，通知基金托管人，并采取合理的措施防止损失进一步扩大；错误偏差达到该类基金份额净值的0.25%时，基金管理人应当通知基金托管人并报中国证监会备案；错误偏</w:t>
      </w:r>
      <w:r>
        <w:rPr>
          <w:rFonts w:ascii="彩虹粗仿宋" w:eastAsia="彩虹粗仿宋" w:hint="eastAsia"/>
          <w:sz w:val="24"/>
          <w:szCs w:val="21"/>
        </w:rPr>
        <w:t>差达到</w:t>
      </w:r>
      <w:r>
        <w:rPr>
          <w:rFonts w:ascii="彩虹粗仿宋" w:eastAsia="彩虹粗仿宋" w:hAnsi="宋体" w:cs="Arial" w:hint="eastAsia"/>
          <w:sz w:val="24"/>
        </w:rPr>
        <w:t>该类基金份额净值的0.5%时，基金管理人应当公告，</w:t>
      </w:r>
      <w:r>
        <w:rPr>
          <w:rFonts w:ascii="彩虹粗仿宋" w:eastAsia="彩虹粗仿宋" w:hAnsi="宋体" w:cs="Arial"/>
          <w:sz w:val="24"/>
        </w:rPr>
        <w:t>并报中国证监会备案</w:t>
      </w:r>
      <w:r>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rsidR="00BB3BFC" w:rsidRDefault="00934BC8">
      <w:pPr>
        <w:adjustRightInd w:val="0"/>
        <w:snapToGrid w:val="0"/>
        <w:spacing w:line="360" w:lineRule="auto"/>
        <w:ind w:firstLineChars="200" w:firstLine="480"/>
        <w:rPr>
          <w:rFonts w:ascii="彩虹粗仿宋" w:eastAsia="彩虹粗仿宋" w:hAnsi="宋体" w:cs="Arial"/>
          <w:sz w:val="24"/>
        </w:rPr>
      </w:pPr>
      <w:bookmarkStart w:id="122" w:name="_Hlk40386660"/>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w:t>
      </w:r>
      <w:r>
        <w:rPr>
          <w:rFonts w:ascii="彩虹粗仿宋" w:eastAsia="彩虹粗仿宋" w:hAnsi="宋体" w:cs="Arial" w:hint="eastAsia"/>
          <w:sz w:val="24"/>
        </w:rPr>
        <w:lastRenderedPageBreak/>
        <w:t>如经双方在平等基础上充分讨论后，尚不能达成一致时，按基金管理人的建议执行，由此给基金份额持有人和基金财产造成的损失，由基金管理人负责赔付。</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w:t>
      </w:r>
      <w:r>
        <w:rPr>
          <w:rFonts w:ascii="彩虹粗仿宋" w:eastAsia="彩虹粗仿宋" w:hint="eastAsia"/>
          <w:kern w:val="0"/>
          <w:sz w:val="24"/>
        </w:rPr>
        <w:t>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.基金管理人和基金托管人由于各自技术系统设置而产生的净值计算尾差，以基金管理人计算结果为准。</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.前述内容如法律法规或监管机构另有规定的，从其规定处理。如果行业另有通行做法，基金管理人和基金托管人应本着平等和保护基金份额持有人利益的原则进行协商。</w:t>
      </w:r>
    </w:p>
    <w:p w:rsidR="00BB3BFC" w:rsidRDefault="00934BC8">
      <w:pPr>
        <w:adjustRightInd w:val="0"/>
        <w:snapToGrid w:val="0"/>
        <w:spacing w:line="360" w:lineRule="auto"/>
        <w:ind w:firstLine="480"/>
        <w:rPr>
          <w:rFonts w:ascii="彩虹粗仿宋" w:eastAsia="彩虹粗仿宋" w:hAnsi="宋体" w:cs="Arial"/>
          <w:sz w:val="24"/>
        </w:rPr>
      </w:pPr>
      <w:bookmarkStart w:id="123" w:name="_Hlk40386949"/>
      <w:bookmarkEnd w:id="122"/>
      <w:r>
        <w:rPr>
          <w:rFonts w:ascii="彩虹粗仿宋" w:eastAsia="彩虹粗仿宋" w:hAnsi="宋体" w:cs="Arial" w:hint="eastAsia"/>
          <w:sz w:val="24"/>
        </w:rPr>
        <w:t>（四）暂停估值的情形</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1.基金投资所涉及的证券、期货交易市场或外汇市场遇法定节假日或者基金参与港股通交易且港股通临时停市或因其他原因暂停营业时；</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w:t>
      </w:r>
      <w:r>
        <w:rPr>
          <w:rFonts w:ascii="彩虹粗仿宋" w:eastAsia="彩虹粗仿宋" w:hAnsi="宋体" w:cs="Arial" w:hint="eastAsia"/>
          <w:sz w:val="24"/>
        </w:rPr>
        <w:lastRenderedPageBreak/>
        <w:t>产价值时；</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3.当特定资产占前一估值日基金资产净值50%以上的，经与基金托管人协商确认后，基金管理人</w:t>
      </w:r>
      <w:r>
        <w:rPr>
          <w:rFonts w:ascii="彩虹粗仿宋" w:eastAsia="彩虹粗仿宋" w:hAnsi="宋体" w:cs="Arial"/>
          <w:sz w:val="24"/>
        </w:rPr>
        <w:t>应当暂停估值</w:t>
      </w:r>
      <w:r>
        <w:rPr>
          <w:rFonts w:ascii="彩虹粗仿宋" w:eastAsia="彩虹粗仿宋" w:hAnsi="宋体" w:cs="Arial" w:hint="eastAsia"/>
          <w:sz w:val="24"/>
        </w:rPr>
        <w:t>；</w:t>
      </w:r>
    </w:p>
    <w:p w:rsidR="00BB3BFC" w:rsidRDefault="00934BC8">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w:t>
      </w:r>
      <w:r>
        <w:rPr>
          <w:rFonts w:hint="eastAsia"/>
        </w:rPr>
        <w:t xml:space="preserve"> </w:t>
      </w:r>
      <w:r>
        <w:rPr>
          <w:rFonts w:ascii="彩虹粗仿宋" w:eastAsia="彩虹粗仿宋" w:hAnsi="宋体" w:cs="Arial" w:hint="eastAsia"/>
          <w:sz w:val="24"/>
        </w:rPr>
        <w:t>法律法规、中国证监会和基金</w:t>
      </w:r>
      <w:bookmarkEnd w:id="123"/>
      <w:r>
        <w:rPr>
          <w:rFonts w:ascii="彩虹粗仿宋" w:eastAsia="彩虹粗仿宋" w:hAnsi="宋体" w:cs="Arial" w:hint="eastAsia"/>
          <w:sz w:val="24"/>
        </w:rPr>
        <w:t>合同认定的其它情形。</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（五）实施侧袋机制期间的基金资产估值</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Pr>
          <w:rFonts w:ascii="彩虹粗仿宋" w:eastAsia="彩虹粗仿宋" w:hAnsi="宋体" w:cs="Arial" w:hint="eastAsia"/>
          <w:sz w:val="24"/>
        </w:rPr>
        <w:t>）基金会计制度</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（七）基金账册的建立</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八</w:t>
      </w:r>
      <w:r>
        <w:rPr>
          <w:rFonts w:ascii="彩虹粗仿宋" w:eastAsia="彩虹粗仿宋" w:hAnsi="宋体" w:cs="Arial" w:hint="eastAsia"/>
          <w:sz w:val="24"/>
        </w:rPr>
        <w:t>）基金财务报表与报告的编制和复核</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(1)报表的编制</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(2)报表的复核</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rsidR="00BB3BFC" w:rsidRDefault="00BB3BFC">
      <w:pPr>
        <w:pStyle w:val="a0"/>
        <w:adjustRightInd w:val="0"/>
        <w:snapToGrid w:val="0"/>
        <w:spacing w:line="360" w:lineRule="auto"/>
        <w:ind w:firstLineChars="0" w:firstLine="0"/>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24" w:name="_Toc78446131"/>
      <w:bookmarkStart w:id="125" w:name="_Toc29458"/>
      <w:bookmarkStart w:id="126" w:name="_Toc7192"/>
      <w:bookmarkStart w:id="127" w:name="_Toc9491"/>
      <w:r>
        <w:rPr>
          <w:rFonts w:ascii="彩虹粗仿宋" w:eastAsia="彩虹粗仿宋" w:hint="eastAsia"/>
          <w:sz w:val="30"/>
        </w:rPr>
        <w:t>九、基金收益分配</w:t>
      </w:r>
      <w:bookmarkEnd w:id="124"/>
      <w:bookmarkEnd w:id="125"/>
      <w:bookmarkEnd w:id="126"/>
      <w:bookmarkEnd w:id="127"/>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w:t>
      </w:r>
      <w:r>
        <w:rPr>
          <w:rFonts w:ascii="彩虹粗仿宋" w:eastAsia="彩虹粗仿宋" w:hAnsi="宋体" w:cs="Arial" w:hint="eastAsia"/>
          <w:sz w:val="24"/>
        </w:rPr>
        <w:lastRenderedPageBreak/>
        <w:t>红利或将现金红利自动转为相应类别的基金份额进行再投资；若投资者不选择，本基金默认的收益分配方式是现金分红；基金份额持有人持有的基金份额（原份额）所获得的红利再投资份额的持有期，按原份额的持有期计算；</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3.基金收益分配后各类基金份额净值均不能低于面值，即基金收益分配基准日的各类基金份额净值减去每单位该类基金份额收益分配金额后不能低于面值；</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4.本基金同一类别的每一基金份额享有同等分配权，由于本基金各类基金份额收取费用情况不同，各基金份额类别对应的可供分配利润将有所不同；</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5.法律法规或监管机构另有规定的，从其规定。</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但应于调整实施日前在规定媒介公告。</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（三）实施侧袋机制期间的收益分配</w:t>
      </w:r>
    </w:p>
    <w:p w:rsidR="00BB3BFC" w:rsidRDefault="00934BC8">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本基金实施侧袋机制的，侧袋账户不进行收益分配，详见招募说明书的规定。</w:t>
      </w:r>
    </w:p>
    <w:p w:rsidR="00BB3BFC" w:rsidRDefault="00BB3BFC">
      <w:pPr>
        <w:adjustRightInd w:val="0"/>
        <w:snapToGrid w:val="0"/>
        <w:spacing w:line="360" w:lineRule="auto"/>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28" w:name="_Toc15751"/>
      <w:bookmarkStart w:id="129" w:name="_Toc78446132"/>
      <w:bookmarkStart w:id="130" w:name="_Toc27466"/>
      <w:bookmarkStart w:id="131" w:name="_Toc25873"/>
      <w:r>
        <w:rPr>
          <w:rFonts w:ascii="彩虹粗仿宋" w:eastAsia="彩虹粗仿宋" w:hint="eastAsia"/>
          <w:sz w:val="30"/>
        </w:rPr>
        <w:t>十、基金信息披露</w:t>
      </w:r>
      <w:bookmarkEnd w:id="128"/>
      <w:bookmarkEnd w:id="129"/>
      <w:bookmarkEnd w:id="130"/>
      <w:bookmarkEnd w:id="131"/>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w:t>
      </w:r>
      <w:r>
        <w:rPr>
          <w:rFonts w:ascii="彩虹粗仿宋" w:eastAsia="彩虹粗仿宋" w:hAnsi="宋体" w:cs="Arial"/>
          <w:sz w:val="24"/>
        </w:rPr>
        <w:t>风险规定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Pr>
          <w:rFonts w:ascii="彩虹粗仿宋" w:eastAsia="彩虹粗仿宋" w:hAnsi="宋体" w:cs="Arial" w:hint="eastAsia"/>
          <w:sz w:val="24"/>
        </w:rPr>
        <w:t>依法向监管机构、司法机关提供或因审计、法律等向外部专业顾问提供的情况。</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BB3BFC" w:rsidRDefault="00934BC8">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基金托管协议、基金产品资料概要、基金份额发售公告、《基金合同》生效公告、基金净值信息、基金份额申购、赎回价格、基金定期报告、包括基金年度报告、基金中期报告和基金季度报告（含资产组合季度报告）、临时报告、澄清公告、基金份额持有人大会决议</w:t>
      </w:r>
      <w:r>
        <w:rPr>
          <w:rFonts w:ascii="彩虹粗仿宋" w:eastAsia="彩虹粗仿宋" w:hAnsi="宋体" w:cs="Arial"/>
          <w:sz w:val="24"/>
        </w:rPr>
        <w:t>、</w:t>
      </w:r>
      <w:r>
        <w:rPr>
          <w:rFonts w:ascii="彩虹粗仿宋" w:eastAsia="彩虹粗仿宋" w:hAnsi="宋体" w:cs="Arial" w:hint="eastAsia"/>
          <w:sz w:val="24"/>
        </w:rPr>
        <w:t>投资资产支持证券的信息披露、投资国债期货的信息披露</w:t>
      </w:r>
      <w:r>
        <w:rPr>
          <w:rFonts w:ascii="彩虹粗仿宋" w:eastAsia="彩虹粗仿宋" w:hAnsi="宋体" w:cs="Arial"/>
          <w:sz w:val="24"/>
        </w:rPr>
        <w:t>、</w:t>
      </w:r>
      <w:r>
        <w:rPr>
          <w:rFonts w:ascii="彩虹粗仿宋" w:eastAsia="彩虹粗仿宋" w:hAnsi="宋体" w:cs="Arial" w:hint="eastAsia"/>
          <w:sz w:val="24"/>
        </w:rPr>
        <w:t>投资流通受限证券的信息披露、</w:t>
      </w:r>
      <w:r>
        <w:rPr>
          <w:rFonts w:ascii="彩虹粗仿宋" w:eastAsia="彩虹粗仿宋" w:hAnsi="宋体" w:cs="Arial" w:hint="eastAsia"/>
          <w:bCs/>
          <w:sz w:val="24"/>
        </w:rPr>
        <w:t>投资港股通标的股票的信息披露</w:t>
      </w:r>
      <w:r>
        <w:rPr>
          <w:rFonts w:ascii="彩虹粗仿宋" w:eastAsia="彩虹粗仿宋" w:hAnsi="宋体" w:cs="Arial" w:hint="eastAsia"/>
          <w:sz w:val="24"/>
        </w:rPr>
        <w:t>、清算报告、实施侧袋机制期间的信息披露、</w:t>
      </w:r>
      <w:r>
        <w:rPr>
          <w:rFonts w:ascii="彩虹粗仿宋" w:eastAsia="彩虹粗仿宋" w:hAnsi="宋体" w:cs="Arial" w:hint="eastAsia"/>
          <w:bCs/>
          <w:sz w:val="24"/>
        </w:rPr>
        <w:t>投资存托凭证的信息披露</w:t>
      </w:r>
      <w:r>
        <w:rPr>
          <w:rFonts w:ascii="彩虹粗仿宋" w:eastAsia="彩虹粗仿宋" w:hAnsi="宋体" w:cs="Arial"/>
          <w:sz w:val="24"/>
        </w:rPr>
        <w:t>及</w:t>
      </w:r>
      <w:r>
        <w:rPr>
          <w:rFonts w:ascii="彩虹粗仿宋" w:eastAsia="彩虹粗仿宋" w:hAnsi="宋体" w:cs="Arial" w:hint="eastAsia"/>
          <w:sz w:val="24"/>
        </w:rPr>
        <w:t>中国证监会规定的其他信息。基金年度报告中的财务会计报告需经符合《中华人民共和国证券法》规定的会计师事务所审计后，方可披露。</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（三）基金托管人和基金管理人在信息披露中的职责和信息披露程序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Pr>
          <w:rFonts w:ascii="彩虹粗仿宋" w:eastAsia="彩虹粗仿宋" w:hint="eastAsia"/>
          <w:sz w:val="24"/>
        </w:rPr>
        <w:t>规定</w:t>
      </w:r>
      <w:r>
        <w:rPr>
          <w:rFonts w:ascii="彩虹粗仿宋" w:eastAsia="彩虹粗仿宋" w:hAnsi="宋体" w:cs="Arial" w:hint="eastAsia"/>
          <w:sz w:val="24"/>
        </w:rPr>
        <w:t>媒介披露。根据法律法规应由基金托管人公开披露的信息，基金托管人将通过</w:t>
      </w:r>
      <w:r>
        <w:rPr>
          <w:rFonts w:ascii="彩虹粗仿宋" w:eastAsia="彩虹粗仿宋" w:hint="eastAsia"/>
          <w:sz w:val="24"/>
        </w:rPr>
        <w:t>规定</w:t>
      </w:r>
      <w:r>
        <w:rPr>
          <w:rFonts w:ascii="彩虹粗仿宋" w:eastAsia="彩虹粗仿宋" w:hAnsi="宋体" w:cs="Arial" w:hint="eastAsia"/>
          <w:sz w:val="24"/>
        </w:rPr>
        <w:t>媒介公开披露。</w:t>
      </w:r>
    </w:p>
    <w:p w:rsidR="00BB3BFC" w:rsidRDefault="00934BC8">
      <w:pPr>
        <w:adjustRightInd w:val="0"/>
        <w:snapToGrid w:val="0"/>
        <w:spacing w:line="360" w:lineRule="auto"/>
        <w:ind w:firstLineChars="200" w:firstLine="480"/>
        <w:rPr>
          <w:rFonts w:ascii="彩虹粗仿宋" w:eastAsia="彩虹粗仿宋" w:hAnsi="宋体" w:cs="Arial"/>
          <w:sz w:val="24"/>
        </w:rPr>
      </w:pPr>
      <w:bookmarkStart w:id="132" w:name="_Hlk40387556"/>
      <w:r>
        <w:rPr>
          <w:rFonts w:ascii="彩虹粗仿宋" w:eastAsia="彩虹粗仿宋" w:hAnsi="宋体" w:cs="Arial" w:hint="eastAsia"/>
          <w:sz w:val="24"/>
        </w:rPr>
        <w:t>当出现下述情况时，基金管理人和基金托管人可暂停或延迟披露基金相关信息：</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（1）因不可抗力或其他情形致使基金管理人、基金托管人无法准确评估基金资产价值时；</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（2）基金投资所涉及的证券、期货交易市场或外汇市场遇法定节假日或者基金参与港股通交易且港股通临时停市或因其他原因暂停营业时；</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（3）占基金相当比例的投资品种的估值出现重大转变，基金管理人为保障基金份额持有人的利益，决定延迟估值；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）发生基金合同约定的暂停估值的情形；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）法律法规、《基金合同》或中国证监会规定的其他情况。</w:t>
      </w:r>
    </w:p>
    <w:bookmarkEnd w:id="132"/>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BB3BFC" w:rsidRDefault="00934BC8">
      <w:pPr>
        <w:pStyle w:val="a0"/>
        <w:spacing w:line="360" w:lineRule="auto"/>
        <w:ind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依法必须披露的信息发布后，基金管理人、基金托管人应当按照相关法律法规规定将信息置备于公司住所，供社会公众查阅、复制。投资者</w:t>
      </w:r>
      <w:r>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rsidR="00BB3BFC" w:rsidRDefault="00934BC8">
      <w:pPr>
        <w:pStyle w:val="a0"/>
        <w:spacing w:line="360" w:lineRule="auto"/>
        <w:ind w:firstLine="480"/>
        <w:rPr>
          <w:rFonts w:ascii="彩虹粗仿宋" w:eastAsia="彩虹粗仿宋" w:hAnsi="宋体" w:cs="Arial"/>
          <w:sz w:val="24"/>
        </w:rPr>
      </w:pPr>
      <w:r>
        <w:rPr>
          <w:rFonts w:ascii="彩虹粗仿宋" w:eastAsia="彩虹粗仿宋" w:hAnsi="宋体" w:cs="Arial" w:hint="eastAsia"/>
          <w:sz w:val="24"/>
        </w:rPr>
        <w:t>（四）实施侧袋机制期间的信息披露</w:t>
      </w:r>
    </w:p>
    <w:p w:rsidR="00BB3BFC" w:rsidRDefault="00934BC8">
      <w:pPr>
        <w:pStyle w:val="a0"/>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本基金实施侧袋机制的，相关信息披露义务人应当根据法律法规、基金合同和招募说明书的规定进行信息披露，详见招募说明书的规定或相关公告。</w:t>
      </w:r>
    </w:p>
    <w:p w:rsidR="00BB3BFC" w:rsidRDefault="00BB3BFC">
      <w:pPr>
        <w:pStyle w:val="a0"/>
        <w:spacing w:line="360" w:lineRule="auto"/>
        <w:ind w:firstLineChars="0" w:firstLine="0"/>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33" w:name="_Toc15180"/>
      <w:bookmarkStart w:id="134" w:name="_Toc78446133"/>
      <w:bookmarkStart w:id="135" w:name="_Toc30151"/>
      <w:bookmarkStart w:id="136" w:name="_Toc8284"/>
      <w:r>
        <w:rPr>
          <w:rFonts w:ascii="彩虹粗仿宋" w:eastAsia="彩虹粗仿宋" w:hint="eastAsia"/>
          <w:sz w:val="30"/>
        </w:rPr>
        <w:t>十一、基金费用</w:t>
      </w:r>
      <w:bookmarkEnd w:id="133"/>
      <w:bookmarkEnd w:id="134"/>
      <w:bookmarkEnd w:id="135"/>
      <w:bookmarkEnd w:id="136"/>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本基金的管理费按前一日基金资产净值的0.60%年费率计提。管理费的计算方法如下：</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H＝E×0.6</w:t>
      </w:r>
      <w:r>
        <w:rPr>
          <w:rFonts w:ascii="彩虹粗仿宋" w:eastAsia="彩虹粗仿宋" w:hAnsi="宋体" w:cs="Arial"/>
          <w:sz w:val="24"/>
        </w:rPr>
        <w:t>0</w:t>
      </w:r>
      <w:r>
        <w:rPr>
          <w:rFonts w:ascii="彩虹粗仿宋" w:eastAsia="彩虹粗仿宋" w:hAnsi="宋体" w:cs="Arial" w:hint="eastAsia"/>
          <w:sz w:val="24"/>
        </w:rPr>
        <w:t>%÷当年天数</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w:t>
      </w:r>
      <w:r>
        <w:rPr>
          <w:rFonts w:ascii="彩虹粗仿宋" w:eastAsia="彩虹粗仿宋" w:hAnsi="宋体" w:cs="Arial"/>
          <w:sz w:val="24"/>
        </w:rPr>
        <w:t>20</w:t>
      </w:r>
      <w:r>
        <w:rPr>
          <w:rFonts w:ascii="彩虹粗仿宋" w:eastAsia="彩虹粗仿宋" w:hAnsi="宋体" w:cs="Arial" w:hint="eastAsia"/>
          <w:sz w:val="24"/>
        </w:rPr>
        <w:t>%的年费率计提。托管费的计算方法如下：</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H＝E×0.</w:t>
      </w:r>
      <w:r>
        <w:rPr>
          <w:rFonts w:ascii="彩虹粗仿宋" w:eastAsia="彩虹粗仿宋" w:hAnsi="宋体" w:cs="Arial"/>
          <w:sz w:val="24"/>
        </w:rPr>
        <w:t>20</w:t>
      </w:r>
      <w:r>
        <w:rPr>
          <w:rFonts w:ascii="彩虹粗仿宋" w:eastAsia="彩虹粗仿宋" w:hAnsi="宋体" w:cs="Arial" w:hint="eastAsia"/>
          <w:sz w:val="24"/>
        </w:rPr>
        <w:t>%÷当年天数</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（三）</w:t>
      </w:r>
      <w:r>
        <w:rPr>
          <w:rFonts w:ascii="彩虹粗仿宋" w:eastAsia="彩虹粗仿宋" w:hAnsi="宋体" w:cs="Arial" w:hint="eastAsia"/>
          <w:sz w:val="24"/>
        </w:rPr>
        <w:t>基金销售服务费的计提比例和计提方法</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本基金A类基金份额不收取销售服务费，C类基金份额的销售服务费年费率为0.40%。本基金销售服务费将专门用于本基金的销售与基金份额持有人服务。</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销售服务费按C类基金份额前一日的基金资产净值的0.40%年费率计提。计算方法如下：</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H＝E×0.40%÷当年天数</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H为C类基金份额每日应计提的销售服务费</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E为C类基金份额前一日基金资产净值</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四</w:t>
      </w:r>
      <w:r>
        <w:rPr>
          <w:rFonts w:ascii="彩虹粗仿宋" w:eastAsia="彩虹粗仿宋" w:hAnsi="宋体" w:cs="Arial" w:hint="eastAsia"/>
          <w:sz w:val="24"/>
        </w:rPr>
        <w:t>）基金证券、期货账户的开户费用、账户维护费用、基金的证券、期货交易结算费用、因</w:t>
      </w:r>
      <w:r>
        <w:rPr>
          <w:rFonts w:ascii="彩虹粗仿宋" w:eastAsia="彩虹粗仿宋" w:hAnsi="宋体" w:cs="Arial"/>
          <w:sz w:val="24"/>
        </w:rPr>
        <w:t>投资港股通标的股票而产生的各项合理费用、</w:t>
      </w:r>
      <w:r>
        <w:rPr>
          <w:rFonts w:ascii="彩虹粗仿宋" w:eastAsia="彩虹粗仿宋" w:hAnsi="宋体" w:cs="Arial" w:hint="eastAsia"/>
          <w:sz w:val="24"/>
        </w:rPr>
        <w:t>基金的银行汇划费用、《基金合同》生效后与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的信息披露费用（法律法规、中国证监会另有规定的除外）、基金份额持有人大会费用、《基金合同》生效后与基金有关的会计师费、律师费、公证费、</w:t>
      </w:r>
      <w:r>
        <w:rPr>
          <w:rFonts w:ascii="彩虹粗仿宋" w:eastAsia="彩虹粗仿宋" w:hAnsi="宋体" w:cs="Arial"/>
          <w:sz w:val="24"/>
        </w:rPr>
        <w:t>仲裁费和诉讼费及按照</w:t>
      </w:r>
      <w:r>
        <w:rPr>
          <w:rFonts w:ascii="彩虹粗仿宋" w:eastAsia="彩虹粗仿宋" w:hAnsi="宋体" w:cs="Arial" w:hint="eastAsia"/>
          <w:sz w:val="24"/>
        </w:rPr>
        <w:t>国家有关规定和《基金合同》约定，可以在基金财产中列支的其他费用，列入当期基金费用。</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五</w:t>
      </w:r>
      <w:r>
        <w:rPr>
          <w:rFonts w:ascii="彩虹粗仿宋" w:eastAsia="彩虹粗仿宋" w:hAnsi="宋体" w:cs="Arial" w:hint="eastAsia"/>
          <w:sz w:val="24"/>
        </w:rPr>
        <w:t>）不列入基金费用的项目</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《基金合同》生效前的律师费、会计师费和信息披露费用等相关费用不得从基金财产中列支；基金管理人和基金托管人因未履行或未完全履行义务导致的费用支出或基金财产的损失；</w:t>
      </w:r>
      <w:r>
        <w:rPr>
          <w:rFonts w:ascii="彩虹粗仿宋" w:eastAsia="彩虹粗仿宋" w:hAnsi="宋体" w:cs="Arial"/>
          <w:bCs/>
          <w:sz w:val="24"/>
        </w:rPr>
        <w:t>基金管理人和基金托管人</w:t>
      </w:r>
      <w:r>
        <w:rPr>
          <w:rFonts w:ascii="彩虹粗仿宋" w:eastAsia="彩虹粗仿宋" w:hAnsi="宋体" w:cs="Arial" w:hint="eastAsia"/>
          <w:sz w:val="24"/>
        </w:rPr>
        <w:t>处理与基金运作无关的事项发生的费用以及其他根据相关法律法规及中国证监会的有关规定不得列入基金</w:t>
      </w:r>
      <w:r>
        <w:rPr>
          <w:rFonts w:ascii="彩虹粗仿宋" w:eastAsia="彩虹粗仿宋" w:hAnsi="宋体" w:cs="Arial" w:hint="eastAsia"/>
          <w:sz w:val="24"/>
        </w:rPr>
        <w:lastRenderedPageBreak/>
        <w:t>费用的项目等不列入基金费用。</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Pr>
          <w:rFonts w:ascii="彩虹粗仿宋" w:eastAsia="彩虹粗仿宋" w:hAnsi="宋体" w:cs="Arial" w:hint="eastAsia"/>
          <w:sz w:val="24"/>
        </w:rPr>
        <w:t>）基金管理费、基金托管费和销售服务费的复核程序、支付方式和时间</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w:t>
      </w:r>
      <w:r>
        <w:rPr>
          <w:rFonts w:ascii="彩虹粗仿宋" w:eastAsia="彩虹粗仿宋" w:hAnsi="宋体" w:cs="Arial"/>
          <w:sz w:val="24"/>
        </w:rPr>
        <w:t>、</w:t>
      </w:r>
      <w:r>
        <w:rPr>
          <w:rFonts w:ascii="彩虹粗仿宋" w:eastAsia="彩虹粗仿宋" w:hAnsi="宋体" w:cs="Arial" w:hint="eastAsia"/>
          <w:sz w:val="24"/>
        </w:rPr>
        <w:t>基金托管费和销售服务费等，根据本托管协议和《基金合同》的有关规定进行复核。</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C类基金份额的销售服务费每日计提，按月支付。由基金托管人根据与基金管理人核对一致的财务数据，自动在次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C类基金份额的销售服务费前，基金管理人应向托管人出具正式函件指定基金管理费或销售服务费的收款账户。基金管理人如需要变更此账户，应提前5个工作日向托管人出具书面的收款账户变更通知。</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七</w:t>
      </w:r>
      <w:r>
        <w:rPr>
          <w:rFonts w:ascii="彩虹粗仿宋" w:eastAsia="彩虹粗仿宋" w:hAnsi="宋体" w:cs="Arial" w:hint="eastAsia"/>
          <w:sz w:val="24"/>
        </w:rPr>
        <w:t>）违规处理方式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暂缓支付或拒绝支付，但应及时通知基金管理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八</w:t>
      </w:r>
      <w:r>
        <w:rPr>
          <w:rFonts w:ascii="彩虹粗仿宋" w:eastAsia="彩虹粗仿宋" w:hAnsi="宋体" w:cs="Arial" w:hint="eastAsia"/>
          <w:sz w:val="24"/>
        </w:rPr>
        <w:t>）实施侧袋机制期间的基金费用</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p>
    <w:p w:rsidR="00BB3BFC" w:rsidRDefault="00BB3BFC">
      <w:pPr>
        <w:adjustRightInd w:val="0"/>
        <w:snapToGrid w:val="0"/>
        <w:spacing w:line="360" w:lineRule="auto"/>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37" w:name="_Toc30550"/>
      <w:bookmarkStart w:id="138" w:name="_Toc22213"/>
      <w:bookmarkStart w:id="139" w:name="_Toc78446134"/>
      <w:bookmarkStart w:id="140" w:name="_Toc20115"/>
      <w:r>
        <w:rPr>
          <w:rFonts w:ascii="彩虹粗仿宋" w:eastAsia="彩虹粗仿宋" w:hint="eastAsia"/>
          <w:sz w:val="30"/>
        </w:rPr>
        <w:t>十二、基金份额持有人名册的保管</w:t>
      </w:r>
      <w:bookmarkEnd w:id="137"/>
      <w:bookmarkEnd w:id="138"/>
      <w:bookmarkEnd w:id="139"/>
      <w:bookmarkEnd w:id="140"/>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低于法律法规规定的最低期限。如不能妥善保管，则按相关法规承担责任。</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基金托管人不得将所保管的基金份额持有人名册用于基金托管业务以外的其他用途，并应遵守保密义务，法律法规或监管部门另有规定的除外。</w:t>
      </w:r>
    </w:p>
    <w:p w:rsidR="00BB3BFC" w:rsidRDefault="00BB3BFC">
      <w:pPr>
        <w:adjustRightInd w:val="0"/>
        <w:snapToGrid w:val="0"/>
        <w:spacing w:line="360" w:lineRule="auto"/>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41" w:name="_Toc18321"/>
      <w:bookmarkStart w:id="142" w:name="_Toc25035"/>
      <w:bookmarkStart w:id="143" w:name="_Toc78446135"/>
      <w:bookmarkStart w:id="144" w:name="_Toc31226"/>
      <w:r>
        <w:rPr>
          <w:rFonts w:ascii="彩虹粗仿宋" w:eastAsia="彩虹粗仿宋" w:hint="eastAsia"/>
          <w:sz w:val="30"/>
        </w:rPr>
        <w:t>十三、基金有关文件档案的保存</w:t>
      </w:r>
      <w:bookmarkEnd w:id="141"/>
      <w:bookmarkEnd w:id="142"/>
      <w:bookmarkEnd w:id="143"/>
      <w:bookmarkEnd w:id="144"/>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BB3BFC" w:rsidRDefault="00934BC8">
      <w:pPr>
        <w:adjustRightInd w:val="0"/>
        <w:snapToGrid w:val="0"/>
        <w:spacing w:line="360" w:lineRule="auto"/>
        <w:ind w:firstLineChars="200" w:firstLine="480"/>
        <w:rPr>
          <w:rFonts w:ascii="彩虹粗仿宋" w:eastAsia="彩虹粗仿宋"/>
          <w:b/>
          <w:bCs/>
          <w:sz w:val="30"/>
          <w:szCs w:val="30"/>
        </w:rPr>
      </w:pPr>
      <w:r>
        <w:rPr>
          <w:rFonts w:ascii="彩虹粗仿宋" w:eastAsia="彩虹粗仿宋" w:hAnsi="宋体" w:cs="Arial" w:hint="eastAsia"/>
          <w:sz w:val="24"/>
        </w:rPr>
        <w:lastRenderedPageBreak/>
        <w:t>若基金管理人/基金托管人发生变更，未变更的一方有义务协助变更后的接任人接收相应文件。</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（四）基金管理人和基金托管人应按各自职责完整保存原始凭证、记账凭证、基金账册、交易记录和重要合同等，承担保密义务并保存至少20年，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rsidR="00BB3BFC" w:rsidRDefault="00BB3BFC">
      <w:pPr>
        <w:adjustRightInd w:val="0"/>
        <w:snapToGrid w:val="0"/>
        <w:spacing w:line="360" w:lineRule="auto"/>
        <w:rPr>
          <w:rFonts w:ascii="彩虹粗仿宋" w:eastAsia="彩虹粗仿宋"/>
          <w:sz w:val="30"/>
          <w:szCs w:val="30"/>
        </w:rPr>
      </w:pPr>
    </w:p>
    <w:p w:rsidR="00BB3BFC" w:rsidRDefault="00934BC8">
      <w:pPr>
        <w:pStyle w:val="2"/>
        <w:spacing w:before="0" w:after="0" w:line="360" w:lineRule="auto"/>
        <w:jc w:val="center"/>
        <w:rPr>
          <w:rFonts w:ascii="彩虹粗仿宋" w:eastAsia="彩虹粗仿宋"/>
          <w:sz w:val="30"/>
        </w:rPr>
      </w:pPr>
      <w:bookmarkStart w:id="145" w:name="_Toc26383"/>
      <w:bookmarkStart w:id="146" w:name="_Toc78446136"/>
      <w:bookmarkStart w:id="147" w:name="_Toc30324"/>
      <w:bookmarkStart w:id="148" w:name="_Toc14968"/>
      <w:r>
        <w:rPr>
          <w:rFonts w:ascii="彩虹粗仿宋" w:eastAsia="彩虹粗仿宋" w:hint="eastAsia"/>
          <w:sz w:val="30"/>
        </w:rPr>
        <w:t>十四、基金管理人和基金托管人的更换</w:t>
      </w:r>
      <w:bookmarkEnd w:id="145"/>
      <w:bookmarkEnd w:id="146"/>
      <w:bookmarkEnd w:id="147"/>
      <w:bookmarkEnd w:id="148"/>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(4)备案：基金份额持有人大会更换基金管理人的决议须报中国证监会备案；</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媒介公告；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w:t>
      </w:r>
      <w:r>
        <w:rPr>
          <w:rFonts w:ascii="彩虹粗仿宋" w:eastAsia="彩虹粗仿宋" w:hAnsi="宋体" w:cs="Arial"/>
          <w:sz w:val="24"/>
        </w:rPr>
        <w:t>费用在基金财产中列支；</w:t>
      </w:r>
    </w:p>
    <w:p w:rsidR="00BB3BFC" w:rsidRDefault="00934BC8">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更换基金托管人必须依照如下程序进行：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媒介公告；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媒介上联合公告。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（四）新基金管理人或临时基金管理人接收基金管理业务，或新基金托管人或临时基金托管人接收基金财产和基金托管业务前，原基金管理人或原基金托管</w:t>
      </w:r>
      <w:r>
        <w:rPr>
          <w:rFonts w:ascii="彩虹粗仿宋" w:eastAsia="彩虹粗仿宋" w:hAnsi="宋体" w:cs="Arial" w:hint="eastAsia"/>
          <w:sz w:val="24"/>
        </w:rPr>
        <w:lastRenderedPageBreak/>
        <w:t>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B3BFC" w:rsidRDefault="00BB3BFC">
      <w:pPr>
        <w:adjustRightInd w:val="0"/>
        <w:snapToGrid w:val="0"/>
        <w:spacing w:line="360" w:lineRule="auto"/>
        <w:ind w:firstLineChars="200" w:firstLine="480"/>
        <w:rPr>
          <w:rFonts w:ascii="彩虹粗仿宋" w:eastAsia="彩虹粗仿宋" w:hAnsi="宋体" w:cs="Arial"/>
          <w:sz w:val="24"/>
        </w:rPr>
      </w:pPr>
    </w:p>
    <w:p w:rsidR="00BB3BFC" w:rsidRDefault="00BB3BFC">
      <w:pPr>
        <w:adjustRightInd w:val="0"/>
        <w:snapToGrid w:val="0"/>
        <w:spacing w:line="360" w:lineRule="auto"/>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49" w:name="_Toc9489"/>
      <w:bookmarkStart w:id="150" w:name="_Toc24546"/>
      <w:bookmarkStart w:id="151" w:name="_Toc78446137"/>
      <w:bookmarkStart w:id="152" w:name="_Toc5585"/>
      <w:r>
        <w:rPr>
          <w:rFonts w:ascii="彩虹粗仿宋" w:eastAsia="彩虹粗仿宋" w:hint="eastAsia"/>
          <w:sz w:val="30"/>
        </w:rPr>
        <w:t>十五、禁止行为</w:t>
      </w:r>
      <w:bookmarkEnd w:id="149"/>
      <w:bookmarkEnd w:id="150"/>
      <w:bookmarkEnd w:id="151"/>
      <w:bookmarkEnd w:id="152"/>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BB3BFC" w:rsidRDefault="00934BC8">
      <w:pPr>
        <w:spacing w:line="360" w:lineRule="auto"/>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rsidR="00BB3BFC" w:rsidRDefault="00934BC8">
      <w:pPr>
        <w:spacing w:line="360" w:lineRule="auto"/>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rsidR="00BB3BFC" w:rsidRDefault="00934BC8">
      <w:pPr>
        <w:spacing w:line="360" w:lineRule="auto"/>
        <w:ind w:firstLineChars="200" w:firstLine="480"/>
        <w:rPr>
          <w:rFonts w:ascii="彩虹粗仿宋" w:eastAsia="彩虹粗仿宋"/>
          <w:sz w:val="24"/>
        </w:rPr>
      </w:pPr>
      <w:r>
        <w:rPr>
          <w:rFonts w:ascii="彩虹粗仿宋" w:eastAsia="彩虹粗仿宋" w:hint="eastAsia"/>
          <w:sz w:val="24"/>
        </w:rPr>
        <w:t>（三）基金管理人、基金托管人利用基金财产或职务之便为基金份额持有人以外的第三人牟取利益。</w:t>
      </w:r>
    </w:p>
    <w:p w:rsidR="00BB3BFC" w:rsidRDefault="00934BC8">
      <w:pPr>
        <w:spacing w:line="360" w:lineRule="auto"/>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w:t>
      </w:r>
      <w:r>
        <w:rPr>
          <w:rFonts w:ascii="彩虹粗仿宋" w:eastAsia="彩虹粗仿宋" w:hAnsi="宋体" w:cs="Arial"/>
          <w:sz w:val="24"/>
        </w:rPr>
        <w:t>露</w:t>
      </w:r>
      <w:r>
        <w:rPr>
          <w:rFonts w:ascii="彩虹粗仿宋" w:eastAsia="彩虹粗仿宋" w:hAnsi="宋体" w:cs="Arial" w:hint="eastAsia"/>
          <w:sz w:val="24"/>
        </w:rPr>
        <w:t>基金运作和管理过程中任何尚未按法律法规规定的方式公开披露的信息。</w:t>
      </w:r>
    </w:p>
    <w:p w:rsidR="00BB3BFC" w:rsidRDefault="00934BC8">
      <w:pPr>
        <w:pStyle w:val="a5"/>
        <w:spacing w:line="36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（七）基金管理人、基金托管人在行政上、财务上不相互独立，其高级管理人员和其他从业人员相互兼职。</w:t>
      </w:r>
    </w:p>
    <w:p w:rsidR="00BB3BFC" w:rsidRDefault="00934BC8">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BB3BFC" w:rsidRDefault="00934BC8">
      <w:pPr>
        <w:spacing w:line="360" w:lineRule="auto"/>
        <w:ind w:firstLineChars="200" w:firstLine="480"/>
        <w:rPr>
          <w:rFonts w:ascii="彩虹粗仿宋" w:eastAsia="彩虹粗仿宋" w:hAnsi="宋体" w:cs="Arial"/>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w:t>
      </w:r>
      <w:r>
        <w:rPr>
          <w:rFonts w:ascii="彩虹粗仿宋" w:eastAsia="彩虹粗仿宋"/>
          <w:sz w:val="24"/>
        </w:rPr>
        <w:t>4</w:t>
      </w:r>
      <w:r>
        <w:rPr>
          <w:rFonts w:ascii="彩虹粗仿宋" w:eastAsia="彩虹粗仿宋" w:hint="eastAsia"/>
          <w:sz w:val="24"/>
        </w:rPr>
        <w:t>.买卖其他基金份额，但是中国证监会另有规定的除外；5</w:t>
      </w:r>
      <w:r>
        <w:rPr>
          <w:rFonts w:ascii="彩虹粗仿宋" w:eastAsia="彩虹粗仿宋"/>
          <w:sz w:val="24"/>
        </w:rPr>
        <w:t>.</w:t>
      </w:r>
      <w:r>
        <w:rPr>
          <w:rFonts w:ascii="彩虹粗仿宋" w:eastAsia="彩虹粗仿宋" w:hint="eastAsia"/>
          <w:sz w:val="24"/>
        </w:rPr>
        <w:t>向其基金管理人、基金托管人出资；</w:t>
      </w:r>
      <w:r>
        <w:rPr>
          <w:rFonts w:ascii="彩虹粗仿宋" w:eastAsia="彩虹粗仿宋"/>
          <w:sz w:val="24"/>
        </w:rPr>
        <w:t>6</w:t>
      </w:r>
      <w:r>
        <w:rPr>
          <w:rFonts w:ascii="彩虹粗仿宋" w:eastAsia="彩虹粗仿宋" w:hint="eastAsia"/>
          <w:sz w:val="24"/>
        </w:rPr>
        <w:t>.从事内幕交易、操纵证券交易价格及其他不正当的证券交易活动；</w:t>
      </w:r>
      <w:r>
        <w:rPr>
          <w:rFonts w:ascii="彩虹粗仿宋" w:eastAsia="彩虹粗仿宋"/>
          <w:sz w:val="24"/>
        </w:rPr>
        <w:t>7</w:t>
      </w:r>
      <w:r>
        <w:rPr>
          <w:rFonts w:ascii="彩虹粗仿宋" w:eastAsia="彩虹粗仿宋" w:hint="eastAsia"/>
          <w:sz w:val="24"/>
        </w:rPr>
        <w:t>.法律、行政法规和中国证监会规定禁止的其他活动。如</w:t>
      </w:r>
      <w:r>
        <w:rPr>
          <w:rFonts w:ascii="彩虹粗仿宋" w:eastAsia="彩虹粗仿宋" w:cs="Arial" w:hint="eastAsia"/>
          <w:sz w:val="24"/>
        </w:rPr>
        <w:t>法律法规或监管部门取消或变更上述限制，如适用于本基金，基金管理人在履行适当程序后，则本基金投资不再受相关限制或按变更后的规定执行</w:t>
      </w:r>
      <w:r>
        <w:rPr>
          <w:rFonts w:ascii="彩虹粗仿宋" w:eastAsia="彩虹粗仿宋" w:hint="eastAsia"/>
          <w:sz w:val="24"/>
        </w:rPr>
        <w:t>。</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rsidR="00BB3BFC" w:rsidRDefault="00BB3BFC">
      <w:pPr>
        <w:adjustRightInd w:val="0"/>
        <w:snapToGrid w:val="0"/>
        <w:spacing w:line="360" w:lineRule="auto"/>
        <w:rPr>
          <w:rFonts w:ascii="彩虹粗仿宋" w:eastAsia="彩虹粗仿宋"/>
          <w:sz w:val="30"/>
          <w:szCs w:val="30"/>
        </w:rPr>
      </w:pPr>
    </w:p>
    <w:p w:rsidR="00BB3BFC" w:rsidRDefault="00934BC8">
      <w:pPr>
        <w:pStyle w:val="2"/>
        <w:spacing w:before="0" w:after="0" w:line="360" w:lineRule="auto"/>
        <w:jc w:val="center"/>
        <w:rPr>
          <w:rFonts w:ascii="彩虹粗仿宋" w:eastAsia="彩虹粗仿宋"/>
          <w:sz w:val="30"/>
        </w:rPr>
      </w:pPr>
      <w:bookmarkStart w:id="153" w:name="_Toc19305"/>
      <w:bookmarkStart w:id="154" w:name="_Toc21342"/>
      <w:bookmarkStart w:id="155" w:name="_Toc8650"/>
      <w:bookmarkStart w:id="156" w:name="_Toc78446138"/>
      <w:r>
        <w:rPr>
          <w:rFonts w:ascii="彩虹粗仿宋" w:eastAsia="彩虹粗仿宋" w:hint="eastAsia"/>
          <w:sz w:val="30"/>
        </w:rPr>
        <w:t>十六、托管协议的变更、终止与基金财产的清算</w:t>
      </w:r>
      <w:bookmarkEnd w:id="153"/>
      <w:bookmarkEnd w:id="154"/>
      <w:bookmarkEnd w:id="155"/>
      <w:bookmarkEnd w:id="156"/>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BB3BFC" w:rsidRDefault="00934BC8">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3.基金管理人解散、依法被撤销、破产或由其他基金管理人接管基金管理权；</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1.基金财产清算小组：自出现《基金合同》终止事由之日起30个工作日内成立基金财产清算小组，基金管理人组织基金财产清算小组并在中国证监会的监督下进行基金财产清算。</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Pr>
          <w:bCs/>
          <w:sz w:val="24"/>
          <w:szCs w:val="20"/>
        </w:rPr>
        <w:t xml:space="preserve"> </w:t>
      </w:r>
      <w:r>
        <w:rPr>
          <w:rFonts w:ascii="彩虹粗仿宋" w:eastAsia="彩虹粗仿宋" w:hAnsi="宋体" w:cs="Arial"/>
          <w:bCs/>
          <w:sz w:val="24"/>
        </w:rPr>
        <w:t>基金财产清算小组成立后</w:t>
      </w:r>
      <w:r>
        <w:rPr>
          <w:rFonts w:ascii="彩虹粗仿宋" w:eastAsia="彩虹粗仿宋" w:hAnsi="宋体" w:cs="Arial" w:hint="eastAsia"/>
          <w:sz w:val="24"/>
        </w:rPr>
        <w:t>，由基金财产清算小组统一接管基金财产；</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清算费用是指基金财产清算小组在进行基金财产清算过程中发生的所有合理费用，清算费用由基金财产清算小组优先从基金剩余财产中支付。</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基金财产清算账册及有关文件由基金托管人保存20年以上，法律法规另有规定的从其规定。</w:t>
      </w:r>
    </w:p>
    <w:p w:rsidR="00BB3BFC" w:rsidRDefault="00BB3BFC">
      <w:pPr>
        <w:adjustRightInd w:val="0"/>
        <w:snapToGrid w:val="0"/>
        <w:spacing w:line="360" w:lineRule="auto"/>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57" w:name="_Toc1088"/>
      <w:bookmarkStart w:id="158" w:name="_Toc8899"/>
      <w:bookmarkStart w:id="159" w:name="_Toc78446139"/>
      <w:bookmarkStart w:id="160" w:name="_Toc27834"/>
      <w:r>
        <w:rPr>
          <w:rFonts w:ascii="彩虹粗仿宋" w:eastAsia="彩虹粗仿宋" w:hint="eastAsia"/>
          <w:sz w:val="30"/>
        </w:rPr>
        <w:t>十七、违约责任</w:t>
      </w:r>
      <w:bookmarkEnd w:id="157"/>
      <w:bookmarkEnd w:id="158"/>
      <w:bookmarkEnd w:id="159"/>
      <w:bookmarkEnd w:id="160"/>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的约定，给基金财产或者基金份额持有人造成损害的，应当分别对各自的行为依法承担赔偿责任；因共同行为给基金财产或者基金份额持有人造成损害的，应当承担连带赔偿责任。</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2.基金管理人和/或基金托管人按照当时有效的法律法规或中国证监会的规定作为或不作为而造成的直接损失等；</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3.在没有过错的情况下，基金管理人由于按照《基金合同》约定的投资原则投资或不投资造成的直接损失等。</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BB3BFC" w:rsidRDefault="00934BC8">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或因前述原因未能避免或更正错误的，由此造成基金财产或投资人损失，基金管理人和基金托管人免除赔偿责任。但是基金管理人和基金托管人应积极采取必要的措施减轻或消除由此造成的影响。</w:t>
      </w:r>
    </w:p>
    <w:p w:rsidR="00BB3BFC" w:rsidRDefault="00BB3BFC">
      <w:pPr>
        <w:adjustRightInd w:val="0"/>
        <w:snapToGrid w:val="0"/>
        <w:spacing w:line="360" w:lineRule="auto"/>
        <w:ind w:firstLineChars="200" w:firstLine="480"/>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61" w:name="_Toc31693"/>
      <w:bookmarkStart w:id="162" w:name="_Toc78446140"/>
      <w:bookmarkStart w:id="163" w:name="_Toc12065"/>
      <w:bookmarkStart w:id="164" w:name="_Toc29784"/>
      <w:r>
        <w:rPr>
          <w:rFonts w:ascii="彩虹粗仿宋" w:eastAsia="彩虹粗仿宋" w:hint="eastAsia"/>
          <w:sz w:val="30"/>
        </w:rPr>
        <w:t>十八、争议解决方式</w:t>
      </w:r>
      <w:bookmarkEnd w:id="161"/>
      <w:bookmarkEnd w:id="162"/>
      <w:bookmarkEnd w:id="163"/>
      <w:bookmarkEnd w:id="164"/>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Pr>
          <w:rFonts w:ascii="彩虹粗仿宋" w:eastAsia="彩虹粗仿宋" w:hAnsi="宋体" w:cs="Arial" w:hint="eastAsia"/>
          <w:sz w:val="24"/>
        </w:rPr>
        <w:lastRenderedPageBreak/>
        <w:t>裁。仲裁裁决是终局的，对当事人均有约束力，除非仲裁裁决另有决定，仲裁费用由败诉方承担。</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本协议受中国法律（为本协议之目的，不含港澳台地区法律）管辖并从其解释。</w:t>
      </w:r>
    </w:p>
    <w:p w:rsidR="00BB3BFC" w:rsidRDefault="00BB3BFC">
      <w:pPr>
        <w:adjustRightInd w:val="0"/>
        <w:snapToGrid w:val="0"/>
        <w:spacing w:line="360" w:lineRule="auto"/>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65" w:name="_Toc5197"/>
      <w:bookmarkStart w:id="166" w:name="_Toc78446141"/>
      <w:bookmarkStart w:id="167" w:name="_Toc2444"/>
      <w:bookmarkStart w:id="168" w:name="_Toc5949"/>
      <w:r>
        <w:rPr>
          <w:rFonts w:ascii="彩虹粗仿宋" w:eastAsia="彩虹粗仿宋" w:hint="eastAsia"/>
          <w:sz w:val="30"/>
        </w:rPr>
        <w:t>十九、托管协议的效力</w:t>
      </w:r>
      <w:bookmarkEnd w:id="165"/>
      <w:bookmarkEnd w:id="166"/>
      <w:bookmarkEnd w:id="167"/>
      <w:bookmarkEnd w:id="168"/>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BB3BFC" w:rsidRDefault="00934BC8">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BB3BFC" w:rsidRDefault="00BB3BFC">
      <w:pPr>
        <w:adjustRightInd w:val="0"/>
        <w:snapToGrid w:val="0"/>
        <w:spacing w:line="360" w:lineRule="auto"/>
        <w:rPr>
          <w:rFonts w:ascii="彩虹粗仿宋" w:eastAsia="彩虹粗仿宋" w:hAnsi="宋体" w:cs="Arial"/>
          <w:sz w:val="24"/>
        </w:rPr>
      </w:pPr>
    </w:p>
    <w:p w:rsidR="00BB3BFC" w:rsidRDefault="00934BC8">
      <w:pPr>
        <w:pStyle w:val="2"/>
        <w:spacing w:before="0" w:after="0" w:line="360" w:lineRule="auto"/>
        <w:jc w:val="center"/>
        <w:rPr>
          <w:rFonts w:ascii="彩虹粗仿宋" w:eastAsia="彩虹粗仿宋"/>
          <w:sz w:val="30"/>
        </w:rPr>
      </w:pPr>
      <w:bookmarkStart w:id="169" w:name="_Toc32708"/>
      <w:bookmarkStart w:id="170" w:name="_Toc2586"/>
      <w:bookmarkStart w:id="171" w:name="_Toc78446142"/>
      <w:bookmarkStart w:id="172" w:name="_Toc10715"/>
      <w:r>
        <w:rPr>
          <w:rFonts w:ascii="彩虹粗仿宋" w:eastAsia="彩虹粗仿宋" w:hint="eastAsia"/>
          <w:sz w:val="30"/>
        </w:rPr>
        <w:t>二十、其他事项</w:t>
      </w:r>
      <w:bookmarkEnd w:id="169"/>
      <w:bookmarkEnd w:id="170"/>
      <w:bookmarkEnd w:id="171"/>
      <w:bookmarkEnd w:id="172"/>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w:t>
      </w:r>
      <w:r>
        <w:rPr>
          <w:rFonts w:ascii="彩虹粗仿宋" w:eastAsia="彩虹粗仿宋" w:hAnsi="宋体" w:cs="Arial" w:hint="eastAsia"/>
          <w:sz w:val="24"/>
        </w:rPr>
        <w:lastRenderedPageBreak/>
        <w:t>予以配合，承担司法协助义务。</w:t>
      </w:r>
    </w:p>
    <w:p w:rsidR="00BB3BFC" w:rsidRDefault="00934BC8">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BB3BFC" w:rsidRDefault="00BB3BFC">
      <w:pPr>
        <w:adjustRightInd w:val="0"/>
        <w:snapToGrid w:val="0"/>
        <w:spacing w:line="360" w:lineRule="auto"/>
        <w:rPr>
          <w:rFonts w:ascii="彩虹粗仿宋" w:eastAsia="彩虹粗仿宋"/>
          <w:b/>
          <w:bCs/>
        </w:rPr>
      </w:pPr>
    </w:p>
    <w:p w:rsidR="00BB3BFC" w:rsidRDefault="00934BC8">
      <w:pPr>
        <w:pStyle w:val="2"/>
        <w:spacing w:before="0" w:after="0" w:line="360" w:lineRule="auto"/>
        <w:jc w:val="center"/>
        <w:rPr>
          <w:rFonts w:ascii="彩虹粗仿宋" w:eastAsia="彩虹粗仿宋"/>
          <w:sz w:val="30"/>
        </w:rPr>
      </w:pPr>
      <w:bookmarkStart w:id="173" w:name="_Toc16798"/>
      <w:bookmarkStart w:id="174" w:name="_Toc32526"/>
      <w:bookmarkStart w:id="175" w:name="_Toc78446143"/>
      <w:bookmarkStart w:id="176" w:name="_Toc15103"/>
      <w:r>
        <w:rPr>
          <w:rFonts w:ascii="彩虹粗仿宋" w:eastAsia="彩虹粗仿宋" w:hint="eastAsia"/>
          <w:sz w:val="30"/>
        </w:rPr>
        <w:t>二十一、托管协议的签订</w:t>
      </w:r>
      <w:bookmarkEnd w:id="173"/>
      <w:bookmarkEnd w:id="174"/>
      <w:bookmarkEnd w:id="175"/>
      <w:bookmarkEnd w:id="176"/>
    </w:p>
    <w:p w:rsidR="00BB3BFC" w:rsidRDefault="00934BC8">
      <w:pPr>
        <w:widowControl/>
        <w:jc w:val="left"/>
      </w:pPr>
      <w:r>
        <w:rPr>
          <w:rFonts w:ascii="彩虹粗仿宋" w:eastAsia="彩虹粗仿宋" w:hAnsi="宋体" w:cs="Arial" w:hint="eastAsia"/>
          <w:sz w:val="24"/>
        </w:rPr>
        <w:t>本协议双方法定代表人或授权代表签字（或盖章）、签订地、签订日</w:t>
      </w:r>
      <w:r>
        <w:rPr>
          <w:rFonts w:hint="eastAsia"/>
        </w:rPr>
        <w:t>。</w:t>
      </w:r>
    </w:p>
    <w:p w:rsidR="00BB3BFC" w:rsidRDefault="00BB3BFC" w:rsidP="0039091F">
      <w:pPr>
        <w:widowControl/>
        <w:jc w:val="left"/>
        <w:rPr>
          <w:rFonts w:hint="eastAsia"/>
        </w:rPr>
      </w:pPr>
      <w:bookmarkStart w:id="177" w:name="_GoBack"/>
      <w:bookmarkEnd w:id="177"/>
    </w:p>
    <w:sectPr w:rsidR="00BB3BF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85" w:rsidRDefault="00131F85">
      <w:r>
        <w:separator/>
      </w:r>
    </w:p>
  </w:endnote>
  <w:endnote w:type="continuationSeparator" w:id="0">
    <w:p w:rsidR="00131F85" w:rsidRDefault="0013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彩虹粗仿宋">
    <w:altName w:val="Microsoft YaHei UI"/>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FC" w:rsidRDefault="00934BC8">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rsidR="00BB3BFC" w:rsidRDefault="00BB3B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FC" w:rsidRDefault="00934BC8">
    <w:pPr>
      <w:pStyle w:val="a7"/>
      <w:framePr w:wrap="around" w:vAnchor="text" w:hAnchor="margin" w:xAlign="center" w:y="1"/>
      <w:rPr>
        <w:rStyle w:val="aa"/>
      </w:rPr>
    </w:pPr>
    <w:r>
      <w:fldChar w:fldCharType="begin"/>
    </w:r>
    <w:r>
      <w:rPr>
        <w:rStyle w:val="aa"/>
      </w:rPr>
      <w:instrText xml:space="preserve">PAGE  </w:instrText>
    </w:r>
    <w:r>
      <w:fldChar w:fldCharType="separate"/>
    </w:r>
    <w:r w:rsidR="0039091F">
      <w:rPr>
        <w:rStyle w:val="aa"/>
        <w:noProof/>
      </w:rPr>
      <w:t>53</w:t>
    </w:r>
    <w:r>
      <w:fldChar w:fldCharType="end"/>
    </w:r>
  </w:p>
  <w:p w:rsidR="00BB3BFC" w:rsidRDefault="00BB3B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85" w:rsidRDefault="00131F85">
      <w:r>
        <w:separator/>
      </w:r>
    </w:p>
  </w:footnote>
  <w:footnote w:type="continuationSeparator" w:id="0">
    <w:p w:rsidR="00131F85" w:rsidRDefault="00131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FC" w:rsidRDefault="00BB3BFC">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OTAyZWRjOGRiN2FkNDYxNTJmMTUxMTBkMzQ2MzIifQ=="/>
  </w:docVars>
  <w:rsids>
    <w:rsidRoot w:val="5D5F5161"/>
    <w:rsid w:val="00047D1E"/>
    <w:rsid w:val="00076C9B"/>
    <w:rsid w:val="00102377"/>
    <w:rsid w:val="00131F85"/>
    <w:rsid w:val="001F4EE4"/>
    <w:rsid w:val="0036326B"/>
    <w:rsid w:val="0039091F"/>
    <w:rsid w:val="004144B0"/>
    <w:rsid w:val="004A620E"/>
    <w:rsid w:val="005C281F"/>
    <w:rsid w:val="00603CB0"/>
    <w:rsid w:val="00651C8F"/>
    <w:rsid w:val="00723F8D"/>
    <w:rsid w:val="00934BC8"/>
    <w:rsid w:val="009D7B7A"/>
    <w:rsid w:val="00AE1441"/>
    <w:rsid w:val="00B34F0D"/>
    <w:rsid w:val="00BB3BFC"/>
    <w:rsid w:val="00C01506"/>
    <w:rsid w:val="00C658EB"/>
    <w:rsid w:val="00C65FFB"/>
    <w:rsid w:val="00C90AAD"/>
    <w:rsid w:val="00CF1D2F"/>
    <w:rsid w:val="00CF5E81"/>
    <w:rsid w:val="00D4042B"/>
    <w:rsid w:val="00DB26C4"/>
    <w:rsid w:val="00E964E5"/>
    <w:rsid w:val="00EC4FE5"/>
    <w:rsid w:val="0530762D"/>
    <w:rsid w:val="06FE3C73"/>
    <w:rsid w:val="0C8133F0"/>
    <w:rsid w:val="109553E4"/>
    <w:rsid w:val="133F79D5"/>
    <w:rsid w:val="16881F81"/>
    <w:rsid w:val="1A60766D"/>
    <w:rsid w:val="1C961170"/>
    <w:rsid w:val="1ED3650A"/>
    <w:rsid w:val="2BD85656"/>
    <w:rsid w:val="4B1A6829"/>
    <w:rsid w:val="5D5F5161"/>
    <w:rsid w:val="5FE84E0C"/>
    <w:rsid w:val="66C51637"/>
    <w:rsid w:val="7B242D44"/>
    <w:rsid w:val="7B67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4FC0B2-1C90-4E10-91B4-CC809444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
    <w:qFormat/>
    <w:pPr>
      <w:jc w:val="left"/>
    </w:pPr>
  </w:style>
  <w:style w:type="paragraph" w:styleId="a5">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a6">
    <w:name w:val="Balloon Text"/>
    <w:basedOn w:val="a"/>
    <w:link w:val="Char0"/>
    <w:qFormat/>
    <w:rPr>
      <w:sz w:val="18"/>
      <w:szCs w:val="18"/>
    </w:rPr>
  </w:style>
  <w:style w:type="paragraph" w:styleId="a7">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0">
    <w:name w:val="toc 2"/>
    <w:basedOn w:val="a"/>
    <w:next w:val="a"/>
    <w:uiPriority w:val="39"/>
    <w:unhideWhenUsed/>
    <w:qFormat/>
    <w:pPr>
      <w:ind w:leftChars="200" w:left="420"/>
    </w:pPr>
  </w:style>
  <w:style w:type="paragraph" w:styleId="a9">
    <w:name w:val="annotation subject"/>
    <w:basedOn w:val="a4"/>
    <w:next w:val="a4"/>
    <w:link w:val="Char1"/>
    <w:qFormat/>
    <w:rPr>
      <w:b/>
      <w:bCs/>
    </w:rPr>
  </w:style>
  <w:style w:type="character" w:styleId="aa">
    <w:name w:val="page number"/>
    <w:basedOn w:val="a1"/>
    <w:qFormat/>
  </w:style>
  <w:style w:type="character" w:styleId="ab">
    <w:name w:val="annotation reference"/>
    <w:qFormat/>
    <w:rPr>
      <w:sz w:val="21"/>
      <w:szCs w:val="21"/>
    </w:rPr>
  </w:style>
  <w:style w:type="character" w:customStyle="1" w:styleId="read">
    <w:name w:val="read"/>
    <w:basedOn w:val="a1"/>
    <w:qFormat/>
  </w:style>
  <w:style w:type="character" w:customStyle="1" w:styleId="Char0">
    <w:name w:val="批注框文本 Char"/>
    <w:basedOn w:val="a1"/>
    <w:link w:val="a6"/>
    <w:qFormat/>
    <w:rPr>
      <w:rFonts w:ascii="Times New Roman" w:eastAsia="宋体" w:hAnsi="Times New Roman" w:cs="Times New Roman"/>
      <w:kern w:val="2"/>
      <w:sz w:val="18"/>
      <w:szCs w:val="18"/>
    </w:rPr>
  </w:style>
  <w:style w:type="character" w:customStyle="1" w:styleId="Char">
    <w:name w:val="批注文字 Char"/>
    <w:link w:val="a4"/>
    <w:qFormat/>
    <w:locked/>
    <w:rPr>
      <w:rFonts w:ascii="Times New Roman" w:eastAsia="宋体" w:hAnsi="Times New Roman" w:cs="Times New Roman"/>
      <w:kern w:val="2"/>
      <w:sz w:val="21"/>
      <w:szCs w:val="24"/>
    </w:rPr>
  </w:style>
  <w:style w:type="character" w:customStyle="1" w:styleId="Char1">
    <w:name w:val="批注主题 Char"/>
    <w:basedOn w:val="Char"/>
    <w:link w:val="a9"/>
    <w:qFormat/>
    <w:rPr>
      <w:rFonts w:ascii="Times New Roman" w:eastAsia="宋体" w:hAnsi="Times New Roman" w:cs="Times New Roman"/>
      <w:b/>
      <w:bCs/>
      <w:kern w:val="2"/>
      <w:sz w:val="21"/>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4928</Words>
  <Characters>28093</Characters>
  <Application>Microsoft Office Word</Application>
  <DocSecurity>0</DocSecurity>
  <Lines>234</Lines>
  <Paragraphs>65</Paragraphs>
  <ScaleCrop>false</ScaleCrop>
  <Company>神州网信技术有限公司</Company>
  <LinksUpToDate>false</LinksUpToDate>
  <CharactersWithSpaces>32956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徐睿-Ray</dc:creator>
  <cp:lastModifiedBy>闫静</cp:lastModifiedBy>
  <cp:revision>6</cp:revision>
  <cp:lastPrinted>2024-03-28T03:32:00Z</cp:lastPrinted>
  <dcterms:created xsi:type="dcterms:W3CDTF">2023-05-09T08:09:00Z</dcterms:created>
  <dcterms:modified xsi:type="dcterms:W3CDTF">2024-05-20T05:38:00Z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B35DEB599D3C4250970818EC80DB3695_13</vt:lpwstr>
  </property>
</Properties>
</file>