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Arial"/>
          <w:sz w:val="24"/>
        </w:rPr>
      </w:pPr>
    </w:p>
    <w:p>
      <w:pPr>
        <w:adjustRightInd w:val="0"/>
        <w:snapToGrid w:val="0"/>
        <w:spacing w:line="360" w:lineRule="auto"/>
        <w:jc w:val="center"/>
        <w:rPr>
          <w:rFonts w:ascii="宋体" w:hAnsi="宋体" w:cs="Arial"/>
          <w:sz w:val="24"/>
        </w:rPr>
      </w:pPr>
    </w:p>
    <w:p>
      <w:pPr>
        <w:adjustRightInd w:val="0"/>
        <w:snapToGrid w:val="0"/>
        <w:spacing w:line="360" w:lineRule="auto"/>
        <w:jc w:val="center"/>
        <w:rPr>
          <w:rFonts w:ascii="宋体" w:hAnsi="宋体" w:cs="Arial"/>
          <w:sz w:val="24"/>
        </w:rPr>
      </w:pPr>
    </w:p>
    <w:p>
      <w:pPr>
        <w:adjustRightInd w:val="0"/>
        <w:snapToGrid w:val="0"/>
        <w:spacing w:line="360" w:lineRule="auto"/>
        <w:jc w:val="center"/>
        <w:rPr>
          <w:rFonts w:ascii="宋体" w:hAnsi="宋体" w:cs="Arial"/>
          <w:sz w:val="24"/>
        </w:rPr>
      </w:pPr>
    </w:p>
    <w:p>
      <w:pPr>
        <w:adjustRightInd w:val="0"/>
        <w:snapToGrid w:val="0"/>
        <w:spacing w:line="360" w:lineRule="auto"/>
        <w:jc w:val="center"/>
        <w:rPr>
          <w:rFonts w:ascii="宋体" w:hAnsi="宋体" w:cs="Arial"/>
          <w:sz w:val="24"/>
        </w:rPr>
      </w:pPr>
    </w:p>
    <w:p>
      <w:pPr>
        <w:adjustRightInd w:val="0"/>
        <w:snapToGrid w:val="0"/>
        <w:spacing w:line="360" w:lineRule="auto"/>
        <w:jc w:val="center"/>
        <w:rPr>
          <w:rFonts w:ascii="宋体" w:hAnsi="宋体" w:cs="Arial"/>
          <w:sz w:val="24"/>
        </w:rPr>
      </w:pPr>
    </w:p>
    <w:p>
      <w:pPr>
        <w:adjustRightInd w:val="0"/>
        <w:snapToGrid w:val="0"/>
        <w:spacing w:line="360" w:lineRule="auto"/>
        <w:jc w:val="center"/>
        <w:rPr>
          <w:rFonts w:ascii="宋体" w:hAnsi="宋体" w:cs="Arial"/>
          <w:sz w:val="24"/>
        </w:rPr>
      </w:pPr>
    </w:p>
    <w:p>
      <w:pPr>
        <w:adjustRightInd w:val="0"/>
        <w:snapToGrid w:val="0"/>
        <w:spacing w:line="360" w:lineRule="auto"/>
        <w:jc w:val="center"/>
        <w:rPr>
          <w:rFonts w:ascii="宋体" w:hAnsi="宋体" w:cs="Arial"/>
          <w:b/>
          <w:sz w:val="44"/>
        </w:rPr>
      </w:pPr>
      <w:r>
        <w:rPr>
          <w:rFonts w:hint="eastAsia" w:ascii="宋体" w:hAnsi="宋体" w:cs="Arial"/>
          <w:b/>
          <w:sz w:val="44"/>
        </w:rPr>
        <w:t>博时国证消费电子主题指数型发起式证券投资基金托管协议</w:t>
      </w:r>
    </w:p>
    <w:p>
      <w:pPr>
        <w:adjustRightInd w:val="0"/>
        <w:snapToGrid w:val="0"/>
        <w:spacing w:line="360" w:lineRule="auto"/>
        <w:jc w:val="center"/>
        <w:outlineLvl w:val="0"/>
        <w:rPr>
          <w:rFonts w:ascii="宋体" w:hAnsi="宋体" w:cs="Arial"/>
          <w:sz w:val="24"/>
        </w:rPr>
      </w:pPr>
    </w:p>
    <w:p>
      <w:pPr>
        <w:adjustRightInd w:val="0"/>
        <w:snapToGrid w:val="0"/>
        <w:spacing w:line="360" w:lineRule="auto"/>
        <w:jc w:val="center"/>
        <w:outlineLvl w:val="0"/>
        <w:rPr>
          <w:rFonts w:ascii="宋体" w:hAnsi="宋体" w:cs="Arial"/>
          <w:sz w:val="24"/>
        </w:rPr>
      </w:pPr>
    </w:p>
    <w:p>
      <w:pPr>
        <w:adjustRightInd w:val="0"/>
        <w:snapToGrid w:val="0"/>
        <w:spacing w:line="360" w:lineRule="auto"/>
        <w:jc w:val="center"/>
        <w:outlineLvl w:val="0"/>
        <w:rPr>
          <w:rFonts w:ascii="宋体" w:hAnsi="宋体" w:cs="Arial"/>
          <w:sz w:val="24"/>
        </w:rPr>
      </w:pPr>
    </w:p>
    <w:p>
      <w:pPr>
        <w:adjustRightInd w:val="0"/>
        <w:snapToGrid w:val="0"/>
        <w:spacing w:line="360" w:lineRule="auto"/>
        <w:jc w:val="center"/>
        <w:outlineLvl w:val="0"/>
        <w:rPr>
          <w:rFonts w:ascii="宋体" w:hAnsi="宋体" w:cs="Arial"/>
          <w:sz w:val="24"/>
        </w:rPr>
      </w:pPr>
    </w:p>
    <w:p>
      <w:pPr>
        <w:adjustRightInd w:val="0"/>
        <w:snapToGrid w:val="0"/>
        <w:spacing w:line="360" w:lineRule="auto"/>
        <w:jc w:val="center"/>
        <w:outlineLvl w:val="0"/>
        <w:rPr>
          <w:rFonts w:ascii="宋体" w:hAnsi="宋体" w:cs="Arial"/>
          <w:sz w:val="24"/>
        </w:rPr>
      </w:pPr>
    </w:p>
    <w:p>
      <w:pPr>
        <w:adjustRightInd w:val="0"/>
        <w:snapToGrid w:val="0"/>
        <w:spacing w:line="360" w:lineRule="auto"/>
        <w:jc w:val="center"/>
        <w:outlineLvl w:val="0"/>
        <w:rPr>
          <w:rFonts w:ascii="宋体" w:hAnsi="宋体" w:cs="Arial"/>
          <w:sz w:val="24"/>
        </w:rPr>
      </w:pPr>
    </w:p>
    <w:p>
      <w:pPr>
        <w:adjustRightInd w:val="0"/>
        <w:snapToGrid w:val="0"/>
        <w:spacing w:line="360" w:lineRule="auto"/>
        <w:jc w:val="center"/>
        <w:outlineLvl w:val="0"/>
        <w:rPr>
          <w:rFonts w:ascii="宋体" w:hAnsi="宋体" w:cs="Arial"/>
          <w:sz w:val="24"/>
        </w:rPr>
      </w:pPr>
    </w:p>
    <w:p>
      <w:pPr>
        <w:adjustRightInd w:val="0"/>
        <w:snapToGrid w:val="0"/>
        <w:spacing w:line="360" w:lineRule="auto"/>
        <w:jc w:val="center"/>
        <w:outlineLvl w:val="0"/>
        <w:rPr>
          <w:rFonts w:ascii="宋体" w:hAnsi="宋体" w:cs="Arial"/>
          <w:b/>
          <w:bCs/>
          <w:sz w:val="28"/>
        </w:rPr>
      </w:pPr>
      <w:r>
        <w:rPr>
          <w:rFonts w:hint="eastAsia" w:ascii="宋体" w:hAnsi="宋体" w:cs="Arial"/>
          <w:b/>
          <w:bCs/>
          <w:sz w:val="28"/>
        </w:rPr>
        <w:t>基金管理人：博时基金管理有限公司</w:t>
      </w:r>
    </w:p>
    <w:p>
      <w:pPr>
        <w:adjustRightInd w:val="0"/>
        <w:snapToGrid w:val="0"/>
        <w:spacing w:line="360" w:lineRule="auto"/>
        <w:jc w:val="center"/>
        <w:outlineLvl w:val="0"/>
        <w:rPr>
          <w:rFonts w:ascii="宋体" w:hAnsi="宋体" w:cs="Arial"/>
          <w:b/>
          <w:bCs/>
          <w:sz w:val="28"/>
        </w:rPr>
      </w:pPr>
      <w:r>
        <w:rPr>
          <w:rFonts w:hint="eastAsia" w:ascii="宋体" w:hAnsi="宋体" w:cs="Arial"/>
          <w:b/>
          <w:bCs/>
          <w:sz w:val="28"/>
        </w:rPr>
        <w:t>基金托管人：中国建设银行股份有限公司</w:t>
      </w:r>
    </w:p>
    <w:p>
      <w:pPr>
        <w:widowControl/>
        <w:adjustRightInd w:val="0"/>
        <w:snapToGrid w:val="0"/>
        <w:spacing w:line="360" w:lineRule="auto"/>
        <w:ind w:firstLine="480" w:firstLineChars="200"/>
        <w:rPr>
          <w:rFonts w:ascii="宋体" w:hAnsi="宋体" w:cs="Arial"/>
          <w:sz w:val="24"/>
        </w:rPr>
      </w:pPr>
    </w:p>
    <w:p>
      <w:pPr>
        <w:widowControl/>
        <w:adjustRightInd w:val="0"/>
        <w:snapToGrid w:val="0"/>
        <w:spacing w:line="360" w:lineRule="auto"/>
        <w:ind w:firstLine="480" w:firstLineChars="200"/>
        <w:rPr>
          <w:rFonts w:ascii="宋体" w:hAnsi="宋体" w:cs="Arial"/>
          <w:sz w:val="24"/>
        </w:rPr>
      </w:pPr>
    </w:p>
    <w:p>
      <w:pPr>
        <w:adjustRightInd w:val="0"/>
        <w:snapToGrid w:val="0"/>
        <w:spacing w:line="360" w:lineRule="auto"/>
        <w:jc w:val="center"/>
        <w:outlineLvl w:val="0"/>
        <w:rPr>
          <w:rFonts w:ascii="宋体" w:hAnsi="宋体" w:cs="Arial"/>
          <w:b/>
          <w:bCs/>
          <w:sz w:val="28"/>
        </w:rPr>
      </w:pPr>
    </w:p>
    <w:p>
      <w:pPr>
        <w:adjustRightInd w:val="0"/>
        <w:snapToGrid w:val="0"/>
        <w:spacing w:line="360" w:lineRule="auto"/>
        <w:jc w:val="center"/>
        <w:outlineLvl w:val="0"/>
        <w:rPr>
          <w:rFonts w:ascii="宋体" w:hAnsi="宋体" w:cs="Arial"/>
          <w:b/>
          <w:bCs/>
          <w:sz w:val="28"/>
        </w:rPr>
      </w:pPr>
      <w:r>
        <w:rPr>
          <w:rFonts w:hint="eastAsia" w:ascii="宋体" w:hAnsi="宋体" w:cs="Arial"/>
          <w:b/>
          <w:bCs/>
          <w:sz w:val="28"/>
        </w:rPr>
        <w:t>二零二四年</w:t>
      </w:r>
      <w:r>
        <w:rPr>
          <w:rFonts w:hint="eastAsia" w:ascii="宋体" w:hAnsi="宋体" w:cs="Arial"/>
          <w:b/>
          <w:bCs/>
          <w:sz w:val="28"/>
          <w:lang w:val="en-US" w:eastAsia="zh-CN"/>
        </w:rPr>
        <w:t>三</w:t>
      </w:r>
      <w:r>
        <w:rPr>
          <w:rFonts w:hint="eastAsia" w:ascii="宋体" w:hAnsi="宋体" w:cs="Arial"/>
          <w:b/>
          <w:bCs/>
          <w:sz w:val="28"/>
        </w:rPr>
        <w:t>月</w:t>
      </w:r>
    </w:p>
    <w:p>
      <w:pPr>
        <w:adjustRightInd w:val="0"/>
        <w:snapToGrid w:val="0"/>
        <w:spacing w:line="360" w:lineRule="auto"/>
        <w:outlineLvl w:val="0"/>
        <w:rPr>
          <w:rFonts w:ascii="宋体" w:hAnsi="宋体" w:cs="Arial"/>
          <w:sz w:val="24"/>
        </w:rPr>
      </w:pPr>
    </w:p>
    <w:p>
      <w:pPr>
        <w:widowControl/>
        <w:adjustRightInd w:val="0"/>
        <w:snapToGrid w:val="0"/>
        <w:spacing w:line="360" w:lineRule="auto"/>
        <w:ind w:firstLine="480" w:firstLineChars="200"/>
        <w:rPr>
          <w:rFonts w:ascii="宋体" w:hAnsi="宋体" w:cs="Arial"/>
          <w:bCs/>
          <w:sz w:val="24"/>
        </w:rPr>
        <w:sectPr>
          <w:footerReference r:id="rId3" w:type="default"/>
          <w:footerReference r:id="rId4" w:type="even"/>
          <w:pgSz w:w="11906" w:h="16838"/>
          <w:pgMar w:top="1418" w:right="1701" w:bottom="1418" w:left="1701" w:header="851" w:footer="992" w:gutter="0"/>
          <w:cols w:space="425" w:num="1"/>
          <w:docGrid w:type="lines" w:linePitch="312" w:charSpace="0"/>
        </w:sectPr>
      </w:pPr>
    </w:p>
    <w:p>
      <w:pPr>
        <w:spacing w:line="360" w:lineRule="auto"/>
        <w:jc w:val="center"/>
        <w:rPr>
          <w:rFonts w:ascii="宋体" w:hAnsi="宋体"/>
          <w:b/>
          <w:bCs/>
          <w:sz w:val="30"/>
        </w:rPr>
      </w:pPr>
      <w:r>
        <w:rPr>
          <w:rFonts w:hint="eastAsia" w:ascii="宋体" w:hAnsi="宋体"/>
          <w:b/>
          <w:bCs/>
          <w:sz w:val="30"/>
        </w:rPr>
        <w:t>目    录</w:t>
      </w:r>
    </w:p>
    <w:p>
      <w:pPr>
        <w:pStyle w:val="20"/>
        <w:tabs>
          <w:tab w:val="right" w:leader="dot" w:pos="8494"/>
        </w:tabs>
        <w:spacing w:line="360" w:lineRule="auto"/>
        <w:rPr>
          <w:rFonts w:ascii="宋体" w:hAnsi="宋体"/>
          <w:sz w:val="28"/>
        </w:rPr>
      </w:pPr>
      <w:r>
        <w:rPr>
          <w:rFonts w:hint="eastAsia" w:ascii="宋体" w:hAnsi="宋体"/>
          <w:sz w:val="28"/>
        </w:rPr>
        <w:fldChar w:fldCharType="begin"/>
      </w:r>
      <w:r>
        <w:rPr>
          <w:rFonts w:hint="eastAsia" w:ascii="宋体" w:hAnsi="宋体"/>
          <w:sz w:val="28"/>
        </w:rPr>
        <w:instrText xml:space="preserve"> TOC \o "1-2" \h \z </w:instrText>
      </w:r>
      <w:r>
        <w:rPr>
          <w:rFonts w:hint="eastAsia" w:ascii="宋体" w:hAnsi="宋体"/>
          <w:sz w:val="28"/>
        </w:rPr>
        <w:fldChar w:fldCharType="separate"/>
      </w:r>
      <w:r>
        <w:fldChar w:fldCharType="begin"/>
      </w:r>
      <w:r>
        <w:instrText xml:space="preserve"> HYPERLINK \l "_Toc124325885" </w:instrText>
      </w:r>
      <w:r>
        <w:fldChar w:fldCharType="separate"/>
      </w:r>
      <w:r>
        <w:rPr>
          <w:rStyle w:val="30"/>
          <w:rFonts w:hint="eastAsia" w:ascii="宋体" w:hAnsi="宋体"/>
          <w:sz w:val="28"/>
          <w:szCs w:val="32"/>
        </w:rPr>
        <w:t>一、基金托管协议当事人</w:t>
      </w:r>
      <w:r>
        <w:rPr>
          <w:rFonts w:hint="eastAsia" w:ascii="宋体" w:hAnsi="宋体"/>
          <w:sz w:val="28"/>
        </w:rPr>
        <w:tab/>
      </w:r>
      <w:r>
        <w:rPr>
          <w:rFonts w:hint="eastAsia" w:ascii="宋体" w:hAnsi="宋体"/>
          <w:sz w:val="28"/>
        </w:rPr>
        <w:t>1-</w:t>
      </w:r>
      <w:r>
        <w:rPr>
          <w:rFonts w:hint="eastAsia" w:ascii="宋体" w:hAnsi="宋体"/>
          <w:sz w:val="28"/>
        </w:rPr>
        <w:fldChar w:fldCharType="begin"/>
      </w:r>
      <w:r>
        <w:rPr>
          <w:rFonts w:hint="eastAsia" w:ascii="宋体" w:hAnsi="宋体"/>
          <w:sz w:val="28"/>
        </w:rPr>
        <w:instrText xml:space="preserve"> PAGEREF _Toc124325885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"_Toc124325886" </w:instrText>
      </w:r>
      <w:r>
        <w:fldChar w:fldCharType="separate"/>
      </w:r>
      <w:r>
        <w:rPr>
          <w:rStyle w:val="30"/>
          <w:rFonts w:hint="eastAsia" w:ascii="宋体" w:hAnsi="宋体"/>
          <w:sz w:val="28"/>
          <w:szCs w:val="32"/>
        </w:rPr>
        <w:t>二、基金托管协议的依据、目的和原则</w:t>
      </w:r>
      <w:r>
        <w:rPr>
          <w:rFonts w:hint="eastAsia" w:ascii="宋体" w:hAnsi="宋体"/>
          <w:sz w:val="28"/>
        </w:rPr>
        <w:tab/>
      </w:r>
      <w:r>
        <w:rPr>
          <w:rFonts w:hint="eastAsia" w:ascii="宋体" w:hAnsi="宋体"/>
          <w:sz w:val="28"/>
        </w:rPr>
        <w:t>2-</w:t>
      </w:r>
      <w:r>
        <w:rPr>
          <w:rFonts w:hint="eastAsia" w:ascii="宋体" w:hAnsi="宋体"/>
          <w:sz w:val="28"/>
        </w:rPr>
        <w:fldChar w:fldCharType="begin"/>
      </w:r>
      <w:r>
        <w:rPr>
          <w:rFonts w:hint="eastAsia" w:ascii="宋体" w:hAnsi="宋体"/>
          <w:sz w:val="28"/>
        </w:rPr>
        <w:instrText xml:space="preserve"> PAGEREF _Toc124325886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"_Toc124325887" </w:instrText>
      </w:r>
      <w:r>
        <w:fldChar w:fldCharType="separate"/>
      </w:r>
      <w:r>
        <w:rPr>
          <w:rStyle w:val="30"/>
          <w:rFonts w:hint="eastAsia" w:ascii="宋体" w:hAnsi="宋体"/>
          <w:sz w:val="28"/>
          <w:szCs w:val="32"/>
        </w:rPr>
        <w:t>三、基金托管人对基金管理人的业务监督和核查</w:t>
      </w:r>
      <w:r>
        <w:rPr>
          <w:rFonts w:hint="eastAsia" w:ascii="宋体" w:hAnsi="宋体"/>
          <w:sz w:val="28"/>
        </w:rPr>
        <w:tab/>
      </w:r>
      <w:r>
        <w:rPr>
          <w:rFonts w:hint="eastAsia" w:ascii="宋体" w:hAnsi="宋体"/>
          <w:sz w:val="28"/>
        </w:rPr>
        <w:t>3-</w:t>
      </w:r>
      <w:r>
        <w:rPr>
          <w:rFonts w:hint="eastAsia" w:ascii="宋体" w:hAnsi="宋体"/>
          <w:sz w:val="28"/>
        </w:rPr>
        <w:fldChar w:fldCharType="begin"/>
      </w:r>
      <w:r>
        <w:rPr>
          <w:rFonts w:hint="eastAsia" w:ascii="宋体" w:hAnsi="宋体"/>
          <w:sz w:val="28"/>
        </w:rPr>
        <w:instrText xml:space="preserve"> PAGEREF _Toc124325887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"_Toc124325888" </w:instrText>
      </w:r>
      <w:r>
        <w:fldChar w:fldCharType="separate"/>
      </w:r>
      <w:r>
        <w:rPr>
          <w:rStyle w:val="30"/>
          <w:rFonts w:hint="eastAsia" w:ascii="宋体" w:hAnsi="宋体"/>
          <w:sz w:val="28"/>
          <w:szCs w:val="32"/>
        </w:rPr>
        <w:t>四、基金管理人对基金托管人的业务核查</w:t>
      </w:r>
      <w:r>
        <w:rPr>
          <w:rFonts w:hint="eastAsia" w:ascii="宋体" w:hAnsi="宋体"/>
          <w:sz w:val="28"/>
        </w:rPr>
        <w:tab/>
      </w:r>
      <w:r>
        <w:rPr>
          <w:rFonts w:hint="eastAsia" w:ascii="宋体" w:hAnsi="宋体"/>
          <w:sz w:val="28"/>
        </w:rPr>
        <w:t>4-</w:t>
      </w:r>
      <w:r>
        <w:rPr>
          <w:rFonts w:hint="eastAsia" w:ascii="宋体" w:hAnsi="宋体"/>
          <w:sz w:val="28"/>
        </w:rPr>
        <w:fldChar w:fldCharType="begin"/>
      </w:r>
      <w:r>
        <w:rPr>
          <w:rFonts w:hint="eastAsia" w:ascii="宋体" w:hAnsi="宋体"/>
          <w:sz w:val="28"/>
        </w:rPr>
        <w:instrText xml:space="preserve"> PAGEREF _Toc124325888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"_Toc124325889" </w:instrText>
      </w:r>
      <w:r>
        <w:fldChar w:fldCharType="separate"/>
      </w:r>
      <w:r>
        <w:rPr>
          <w:rStyle w:val="30"/>
          <w:rFonts w:hint="eastAsia" w:ascii="宋体" w:hAnsi="宋体"/>
          <w:sz w:val="28"/>
          <w:szCs w:val="32"/>
        </w:rPr>
        <w:t>五、基金财产的保管</w:t>
      </w:r>
      <w:r>
        <w:rPr>
          <w:rFonts w:hint="eastAsia" w:ascii="宋体" w:hAnsi="宋体"/>
          <w:sz w:val="28"/>
        </w:rPr>
        <w:tab/>
      </w:r>
      <w:r>
        <w:rPr>
          <w:rFonts w:hint="eastAsia" w:ascii="宋体" w:hAnsi="宋体"/>
          <w:sz w:val="28"/>
        </w:rPr>
        <w:t>5-</w:t>
      </w:r>
      <w:r>
        <w:rPr>
          <w:rFonts w:hint="eastAsia" w:ascii="宋体" w:hAnsi="宋体"/>
          <w:sz w:val="28"/>
        </w:rPr>
        <w:fldChar w:fldCharType="begin"/>
      </w:r>
      <w:r>
        <w:rPr>
          <w:rFonts w:hint="eastAsia" w:ascii="宋体" w:hAnsi="宋体"/>
          <w:sz w:val="28"/>
        </w:rPr>
        <w:instrText xml:space="preserve"> PAGEREF _Toc124325889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"_Toc124325890" </w:instrText>
      </w:r>
      <w:r>
        <w:fldChar w:fldCharType="separate"/>
      </w:r>
      <w:r>
        <w:rPr>
          <w:rStyle w:val="30"/>
          <w:rFonts w:hint="eastAsia" w:ascii="宋体" w:hAnsi="宋体"/>
          <w:sz w:val="28"/>
          <w:szCs w:val="32"/>
        </w:rPr>
        <w:t>六、指令的发送、确认及执行</w:t>
      </w:r>
      <w:r>
        <w:rPr>
          <w:rFonts w:hint="eastAsia" w:ascii="宋体" w:hAnsi="宋体"/>
          <w:sz w:val="28"/>
        </w:rPr>
        <w:tab/>
      </w:r>
      <w:r>
        <w:rPr>
          <w:rFonts w:hint="eastAsia" w:ascii="宋体" w:hAnsi="宋体"/>
          <w:sz w:val="28"/>
        </w:rPr>
        <w:t>6-</w:t>
      </w:r>
      <w:r>
        <w:rPr>
          <w:rFonts w:hint="eastAsia" w:ascii="宋体" w:hAnsi="宋体"/>
          <w:sz w:val="28"/>
        </w:rPr>
        <w:fldChar w:fldCharType="begin"/>
      </w:r>
      <w:r>
        <w:rPr>
          <w:rFonts w:hint="eastAsia" w:ascii="宋体" w:hAnsi="宋体"/>
          <w:sz w:val="28"/>
        </w:rPr>
        <w:instrText xml:space="preserve"> PAGEREF _Toc124325890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"_Toc124325891" </w:instrText>
      </w:r>
      <w:r>
        <w:fldChar w:fldCharType="separate"/>
      </w:r>
      <w:r>
        <w:rPr>
          <w:rStyle w:val="30"/>
          <w:rFonts w:hint="eastAsia" w:ascii="宋体" w:hAnsi="宋体"/>
          <w:sz w:val="28"/>
          <w:szCs w:val="32"/>
        </w:rPr>
        <w:t>七、交易及清算交收安排</w:t>
      </w:r>
      <w:r>
        <w:rPr>
          <w:rFonts w:hint="eastAsia" w:ascii="宋体" w:hAnsi="宋体"/>
          <w:sz w:val="28"/>
        </w:rPr>
        <w:tab/>
      </w:r>
      <w:r>
        <w:rPr>
          <w:rFonts w:hint="eastAsia" w:ascii="宋体" w:hAnsi="宋体"/>
          <w:sz w:val="28"/>
        </w:rPr>
        <w:t>7-</w:t>
      </w:r>
      <w:r>
        <w:rPr>
          <w:rFonts w:hint="eastAsia" w:ascii="宋体" w:hAnsi="宋体"/>
          <w:sz w:val="28"/>
        </w:rPr>
        <w:fldChar w:fldCharType="begin"/>
      </w:r>
      <w:r>
        <w:rPr>
          <w:rFonts w:hint="eastAsia" w:ascii="宋体" w:hAnsi="宋体"/>
          <w:sz w:val="28"/>
        </w:rPr>
        <w:instrText xml:space="preserve"> PAGEREF _Toc124325891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"_Toc124325892" </w:instrText>
      </w:r>
      <w:r>
        <w:fldChar w:fldCharType="separate"/>
      </w:r>
      <w:r>
        <w:rPr>
          <w:rStyle w:val="30"/>
          <w:rFonts w:hint="eastAsia" w:ascii="宋体" w:hAnsi="宋体"/>
          <w:sz w:val="28"/>
          <w:szCs w:val="32"/>
        </w:rPr>
        <w:t>八、基金资产净值计算和会计核算</w:t>
      </w:r>
      <w:r>
        <w:rPr>
          <w:rFonts w:hint="eastAsia" w:ascii="宋体" w:hAnsi="宋体"/>
          <w:sz w:val="28"/>
        </w:rPr>
        <w:tab/>
      </w:r>
      <w:r>
        <w:rPr>
          <w:rFonts w:hint="eastAsia" w:ascii="宋体" w:hAnsi="宋体"/>
          <w:sz w:val="28"/>
        </w:rPr>
        <w:t>8-</w:t>
      </w:r>
      <w:r>
        <w:rPr>
          <w:rFonts w:hint="eastAsia" w:ascii="宋体" w:hAnsi="宋体"/>
          <w:sz w:val="28"/>
        </w:rPr>
        <w:fldChar w:fldCharType="begin"/>
      </w:r>
      <w:r>
        <w:rPr>
          <w:rFonts w:hint="eastAsia" w:ascii="宋体" w:hAnsi="宋体"/>
          <w:sz w:val="28"/>
        </w:rPr>
        <w:instrText xml:space="preserve"> PAGEREF _Toc124325892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"_Toc124325893" </w:instrText>
      </w:r>
      <w:r>
        <w:fldChar w:fldCharType="separate"/>
      </w:r>
      <w:r>
        <w:rPr>
          <w:rStyle w:val="30"/>
          <w:rFonts w:hint="eastAsia" w:ascii="宋体" w:hAnsi="宋体"/>
          <w:sz w:val="28"/>
          <w:szCs w:val="32"/>
        </w:rPr>
        <w:t>九、基金收益分配</w:t>
      </w:r>
      <w:r>
        <w:rPr>
          <w:rFonts w:hint="eastAsia" w:ascii="宋体" w:hAnsi="宋体"/>
          <w:sz w:val="28"/>
        </w:rPr>
        <w:tab/>
      </w:r>
      <w:r>
        <w:rPr>
          <w:rFonts w:hint="eastAsia" w:ascii="宋体" w:hAnsi="宋体"/>
          <w:sz w:val="28"/>
        </w:rPr>
        <w:t>9-</w:t>
      </w:r>
      <w:r>
        <w:rPr>
          <w:rFonts w:hint="eastAsia" w:ascii="宋体" w:hAnsi="宋体"/>
          <w:sz w:val="28"/>
        </w:rPr>
        <w:fldChar w:fldCharType="begin"/>
      </w:r>
      <w:r>
        <w:rPr>
          <w:rFonts w:hint="eastAsia" w:ascii="宋体" w:hAnsi="宋体"/>
          <w:sz w:val="28"/>
        </w:rPr>
        <w:instrText xml:space="preserve"> PAGEREF _Toc124325893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"_Toc124325894" </w:instrText>
      </w:r>
      <w:r>
        <w:fldChar w:fldCharType="separate"/>
      </w:r>
      <w:r>
        <w:rPr>
          <w:rStyle w:val="30"/>
          <w:rFonts w:hint="eastAsia" w:ascii="宋体" w:hAnsi="宋体"/>
          <w:sz w:val="28"/>
          <w:szCs w:val="32"/>
        </w:rPr>
        <w:t>十、基金信息披露</w:t>
      </w:r>
      <w:r>
        <w:rPr>
          <w:rFonts w:hint="eastAsia" w:ascii="宋体" w:hAnsi="宋体"/>
          <w:sz w:val="28"/>
        </w:rPr>
        <w:tab/>
      </w:r>
      <w:r>
        <w:rPr>
          <w:rFonts w:hint="eastAsia" w:ascii="宋体" w:hAnsi="宋体"/>
          <w:sz w:val="28"/>
        </w:rPr>
        <w:t>10-</w:t>
      </w:r>
      <w:r>
        <w:rPr>
          <w:rFonts w:hint="eastAsia" w:ascii="宋体" w:hAnsi="宋体"/>
          <w:sz w:val="28"/>
        </w:rPr>
        <w:fldChar w:fldCharType="begin"/>
      </w:r>
      <w:r>
        <w:rPr>
          <w:rFonts w:hint="eastAsia" w:ascii="宋体" w:hAnsi="宋体"/>
          <w:sz w:val="28"/>
        </w:rPr>
        <w:instrText xml:space="preserve"> PAGEREF _Toc124325894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"_Toc124325895" </w:instrText>
      </w:r>
      <w:r>
        <w:fldChar w:fldCharType="separate"/>
      </w:r>
      <w:r>
        <w:rPr>
          <w:rStyle w:val="30"/>
          <w:rFonts w:hint="eastAsia" w:ascii="宋体" w:hAnsi="宋体"/>
          <w:sz w:val="28"/>
          <w:szCs w:val="32"/>
        </w:rPr>
        <w:t>十一、基金费用</w:t>
      </w:r>
      <w:r>
        <w:rPr>
          <w:rFonts w:hint="eastAsia" w:ascii="宋体" w:hAnsi="宋体"/>
          <w:sz w:val="28"/>
        </w:rPr>
        <w:tab/>
      </w:r>
      <w:r>
        <w:rPr>
          <w:rFonts w:hint="eastAsia" w:ascii="宋体" w:hAnsi="宋体"/>
          <w:sz w:val="28"/>
        </w:rPr>
        <w:t>11-</w:t>
      </w:r>
      <w:r>
        <w:rPr>
          <w:rFonts w:hint="eastAsia" w:ascii="宋体" w:hAnsi="宋体"/>
          <w:sz w:val="28"/>
        </w:rPr>
        <w:fldChar w:fldCharType="begin"/>
      </w:r>
      <w:r>
        <w:rPr>
          <w:rFonts w:hint="eastAsia" w:ascii="宋体" w:hAnsi="宋体"/>
          <w:sz w:val="28"/>
        </w:rPr>
        <w:instrText xml:space="preserve"> PAGEREF _Toc124325895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"_Toc124325896" </w:instrText>
      </w:r>
      <w:r>
        <w:fldChar w:fldCharType="separate"/>
      </w:r>
      <w:r>
        <w:rPr>
          <w:rStyle w:val="30"/>
          <w:rFonts w:hint="eastAsia" w:ascii="宋体" w:hAnsi="宋体"/>
          <w:sz w:val="28"/>
          <w:szCs w:val="32"/>
        </w:rPr>
        <w:t>十二、基金份额持有人名册的保管</w:t>
      </w:r>
      <w:r>
        <w:rPr>
          <w:rFonts w:hint="eastAsia" w:ascii="宋体" w:hAnsi="宋体"/>
          <w:sz w:val="28"/>
        </w:rPr>
        <w:tab/>
      </w:r>
      <w:r>
        <w:rPr>
          <w:rFonts w:hint="eastAsia" w:ascii="宋体" w:hAnsi="宋体"/>
          <w:sz w:val="28"/>
        </w:rPr>
        <w:t>12-</w:t>
      </w:r>
      <w:r>
        <w:rPr>
          <w:rFonts w:hint="eastAsia" w:ascii="宋体" w:hAnsi="宋体"/>
          <w:sz w:val="28"/>
        </w:rPr>
        <w:fldChar w:fldCharType="begin"/>
      </w:r>
      <w:r>
        <w:rPr>
          <w:rFonts w:hint="eastAsia" w:ascii="宋体" w:hAnsi="宋体"/>
          <w:sz w:val="28"/>
        </w:rPr>
        <w:instrText xml:space="preserve"> PAGEREF _Toc124325896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"_Toc124325897" </w:instrText>
      </w:r>
      <w:r>
        <w:fldChar w:fldCharType="separate"/>
      </w:r>
      <w:r>
        <w:rPr>
          <w:rStyle w:val="30"/>
          <w:rFonts w:hint="eastAsia" w:ascii="宋体" w:hAnsi="宋体"/>
          <w:sz w:val="28"/>
          <w:szCs w:val="32"/>
        </w:rPr>
        <w:t>十三、基金有关文件档案的保存</w:t>
      </w:r>
      <w:r>
        <w:rPr>
          <w:rFonts w:hint="eastAsia" w:ascii="宋体" w:hAnsi="宋体"/>
          <w:sz w:val="28"/>
        </w:rPr>
        <w:tab/>
      </w:r>
      <w:r>
        <w:rPr>
          <w:rFonts w:hint="eastAsia" w:ascii="宋体" w:hAnsi="宋体"/>
          <w:sz w:val="28"/>
        </w:rPr>
        <w:t>13-</w:t>
      </w:r>
      <w:r>
        <w:rPr>
          <w:rFonts w:hint="eastAsia" w:ascii="宋体" w:hAnsi="宋体"/>
          <w:sz w:val="28"/>
        </w:rPr>
        <w:fldChar w:fldCharType="begin"/>
      </w:r>
      <w:r>
        <w:rPr>
          <w:rFonts w:hint="eastAsia" w:ascii="宋体" w:hAnsi="宋体"/>
          <w:sz w:val="28"/>
        </w:rPr>
        <w:instrText xml:space="preserve"> PAGEREF _Toc124325897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"_Toc124325898" </w:instrText>
      </w:r>
      <w:r>
        <w:fldChar w:fldCharType="separate"/>
      </w:r>
      <w:r>
        <w:rPr>
          <w:rStyle w:val="30"/>
          <w:rFonts w:hint="eastAsia" w:ascii="宋体" w:hAnsi="宋体"/>
          <w:sz w:val="28"/>
          <w:szCs w:val="32"/>
        </w:rPr>
        <w:t>十四、基金管理人和基金托管人的更换</w:t>
      </w:r>
      <w:r>
        <w:rPr>
          <w:rFonts w:hint="eastAsia" w:ascii="宋体" w:hAnsi="宋体"/>
          <w:sz w:val="28"/>
        </w:rPr>
        <w:tab/>
      </w:r>
      <w:r>
        <w:rPr>
          <w:rFonts w:hint="eastAsia" w:ascii="宋体" w:hAnsi="宋体"/>
          <w:sz w:val="28"/>
        </w:rPr>
        <w:t>14-</w:t>
      </w:r>
      <w:r>
        <w:rPr>
          <w:rFonts w:hint="eastAsia" w:ascii="宋体" w:hAnsi="宋体"/>
          <w:sz w:val="28"/>
        </w:rPr>
        <w:fldChar w:fldCharType="begin"/>
      </w:r>
      <w:r>
        <w:rPr>
          <w:rFonts w:hint="eastAsia" w:ascii="宋体" w:hAnsi="宋体"/>
          <w:sz w:val="28"/>
        </w:rPr>
        <w:instrText xml:space="preserve"> PAGEREF _Toc124325898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"_Toc124325899" </w:instrText>
      </w:r>
      <w:r>
        <w:fldChar w:fldCharType="separate"/>
      </w:r>
      <w:r>
        <w:rPr>
          <w:rStyle w:val="30"/>
          <w:rFonts w:hint="eastAsia" w:ascii="宋体" w:hAnsi="宋体"/>
          <w:sz w:val="28"/>
          <w:szCs w:val="32"/>
        </w:rPr>
        <w:t>十五、禁止行为</w:t>
      </w:r>
      <w:r>
        <w:rPr>
          <w:rFonts w:hint="eastAsia" w:ascii="宋体" w:hAnsi="宋体"/>
          <w:sz w:val="28"/>
        </w:rPr>
        <w:tab/>
      </w:r>
      <w:r>
        <w:rPr>
          <w:rFonts w:hint="eastAsia" w:ascii="宋体" w:hAnsi="宋体"/>
          <w:sz w:val="28"/>
        </w:rPr>
        <w:t>15-</w:t>
      </w:r>
      <w:r>
        <w:rPr>
          <w:rFonts w:hint="eastAsia" w:ascii="宋体" w:hAnsi="宋体"/>
          <w:sz w:val="28"/>
        </w:rPr>
        <w:fldChar w:fldCharType="begin"/>
      </w:r>
      <w:r>
        <w:rPr>
          <w:rFonts w:hint="eastAsia" w:ascii="宋体" w:hAnsi="宋体"/>
          <w:sz w:val="28"/>
        </w:rPr>
        <w:instrText xml:space="preserve"> PAGEREF _Toc124325899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"_Toc124325900" </w:instrText>
      </w:r>
      <w:r>
        <w:fldChar w:fldCharType="separate"/>
      </w:r>
      <w:r>
        <w:rPr>
          <w:rStyle w:val="30"/>
          <w:rFonts w:hint="eastAsia" w:ascii="宋体" w:hAnsi="宋体"/>
          <w:sz w:val="28"/>
          <w:szCs w:val="32"/>
        </w:rPr>
        <w:t>十六、托管协议的变更、终止与基金财产的清算</w:t>
      </w:r>
      <w:r>
        <w:rPr>
          <w:rFonts w:hint="eastAsia" w:ascii="宋体" w:hAnsi="宋体"/>
          <w:sz w:val="28"/>
        </w:rPr>
        <w:tab/>
      </w:r>
      <w:r>
        <w:rPr>
          <w:rFonts w:hint="eastAsia" w:ascii="宋体" w:hAnsi="宋体"/>
          <w:sz w:val="28"/>
        </w:rPr>
        <w:t>16-</w:t>
      </w:r>
      <w:r>
        <w:rPr>
          <w:rFonts w:hint="eastAsia" w:ascii="宋体" w:hAnsi="宋体"/>
          <w:sz w:val="28"/>
        </w:rPr>
        <w:fldChar w:fldCharType="begin"/>
      </w:r>
      <w:r>
        <w:rPr>
          <w:rFonts w:hint="eastAsia" w:ascii="宋体" w:hAnsi="宋体"/>
          <w:sz w:val="28"/>
        </w:rPr>
        <w:instrText xml:space="preserve"> PAGEREF _Toc124325900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"_Toc124325901" </w:instrText>
      </w:r>
      <w:r>
        <w:fldChar w:fldCharType="separate"/>
      </w:r>
      <w:r>
        <w:rPr>
          <w:rStyle w:val="30"/>
          <w:rFonts w:hint="eastAsia" w:ascii="宋体" w:hAnsi="宋体"/>
          <w:sz w:val="28"/>
          <w:szCs w:val="32"/>
        </w:rPr>
        <w:t>十七、违约责任</w:t>
      </w:r>
      <w:r>
        <w:rPr>
          <w:rFonts w:hint="eastAsia" w:ascii="宋体" w:hAnsi="宋体"/>
          <w:sz w:val="28"/>
        </w:rPr>
        <w:tab/>
      </w:r>
      <w:r>
        <w:rPr>
          <w:rFonts w:hint="eastAsia" w:ascii="宋体" w:hAnsi="宋体"/>
          <w:sz w:val="28"/>
        </w:rPr>
        <w:t>17-</w:t>
      </w:r>
      <w:r>
        <w:rPr>
          <w:rFonts w:hint="eastAsia" w:ascii="宋体" w:hAnsi="宋体"/>
          <w:sz w:val="28"/>
        </w:rPr>
        <w:fldChar w:fldCharType="begin"/>
      </w:r>
      <w:r>
        <w:rPr>
          <w:rFonts w:hint="eastAsia" w:ascii="宋体" w:hAnsi="宋体"/>
          <w:sz w:val="28"/>
        </w:rPr>
        <w:instrText xml:space="preserve"> PAGEREF _Toc124325901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"_Toc124325902" </w:instrText>
      </w:r>
      <w:r>
        <w:fldChar w:fldCharType="separate"/>
      </w:r>
      <w:r>
        <w:rPr>
          <w:rStyle w:val="30"/>
          <w:rFonts w:hint="eastAsia" w:ascii="宋体" w:hAnsi="宋体"/>
          <w:sz w:val="28"/>
          <w:szCs w:val="32"/>
        </w:rPr>
        <w:t>十八、争议解决方式</w:t>
      </w:r>
      <w:r>
        <w:rPr>
          <w:rFonts w:hint="eastAsia" w:ascii="宋体" w:hAnsi="宋体"/>
          <w:sz w:val="28"/>
        </w:rPr>
        <w:tab/>
      </w:r>
      <w:r>
        <w:rPr>
          <w:rFonts w:hint="eastAsia" w:ascii="宋体" w:hAnsi="宋体"/>
          <w:sz w:val="28"/>
        </w:rPr>
        <w:t>18-</w:t>
      </w:r>
      <w:r>
        <w:rPr>
          <w:rFonts w:hint="eastAsia" w:ascii="宋体" w:hAnsi="宋体"/>
          <w:sz w:val="28"/>
        </w:rPr>
        <w:fldChar w:fldCharType="begin"/>
      </w:r>
      <w:r>
        <w:rPr>
          <w:rFonts w:hint="eastAsia" w:ascii="宋体" w:hAnsi="宋体"/>
          <w:sz w:val="28"/>
        </w:rPr>
        <w:instrText xml:space="preserve"> PAGEREF _Toc124325902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"_Toc124325903" </w:instrText>
      </w:r>
      <w:r>
        <w:fldChar w:fldCharType="separate"/>
      </w:r>
      <w:r>
        <w:rPr>
          <w:rStyle w:val="30"/>
          <w:rFonts w:hint="eastAsia" w:ascii="宋体" w:hAnsi="宋体"/>
          <w:sz w:val="28"/>
          <w:szCs w:val="32"/>
        </w:rPr>
        <w:t>十九、托管协议的效力</w:t>
      </w:r>
      <w:r>
        <w:rPr>
          <w:rFonts w:hint="eastAsia" w:ascii="宋体" w:hAnsi="宋体"/>
          <w:sz w:val="28"/>
        </w:rPr>
        <w:tab/>
      </w:r>
      <w:r>
        <w:rPr>
          <w:rFonts w:hint="eastAsia" w:ascii="宋体" w:hAnsi="宋体"/>
          <w:sz w:val="28"/>
        </w:rPr>
        <w:t>19-</w:t>
      </w:r>
      <w:r>
        <w:rPr>
          <w:rFonts w:hint="eastAsia" w:ascii="宋体" w:hAnsi="宋体"/>
          <w:sz w:val="28"/>
        </w:rPr>
        <w:fldChar w:fldCharType="begin"/>
      </w:r>
      <w:r>
        <w:rPr>
          <w:rFonts w:hint="eastAsia" w:ascii="宋体" w:hAnsi="宋体"/>
          <w:sz w:val="28"/>
        </w:rPr>
        <w:instrText xml:space="preserve"> PAGEREF _Toc124325903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sz w:val="28"/>
        </w:rPr>
      </w:pPr>
      <w:r>
        <w:fldChar w:fldCharType="begin"/>
      </w:r>
      <w:r>
        <w:instrText xml:space="preserve"> HYPERLINK \l "_Toc124325904" </w:instrText>
      </w:r>
      <w:r>
        <w:fldChar w:fldCharType="separate"/>
      </w:r>
      <w:r>
        <w:rPr>
          <w:rStyle w:val="30"/>
          <w:rFonts w:hint="eastAsia" w:ascii="宋体" w:hAnsi="宋体"/>
          <w:sz w:val="28"/>
          <w:szCs w:val="32"/>
        </w:rPr>
        <w:t>二十、其他事项</w:t>
      </w:r>
      <w:r>
        <w:rPr>
          <w:rFonts w:hint="eastAsia" w:ascii="宋体" w:hAnsi="宋体"/>
          <w:sz w:val="28"/>
        </w:rPr>
        <w:tab/>
      </w:r>
      <w:r>
        <w:rPr>
          <w:rFonts w:hint="eastAsia" w:ascii="宋体" w:hAnsi="宋体"/>
          <w:sz w:val="28"/>
        </w:rPr>
        <w:t>20-</w:t>
      </w:r>
      <w:r>
        <w:rPr>
          <w:rFonts w:hint="eastAsia" w:ascii="宋体" w:hAnsi="宋体"/>
          <w:sz w:val="28"/>
        </w:rPr>
        <w:fldChar w:fldCharType="begin"/>
      </w:r>
      <w:r>
        <w:rPr>
          <w:rFonts w:hint="eastAsia" w:ascii="宋体" w:hAnsi="宋体"/>
          <w:sz w:val="28"/>
        </w:rPr>
        <w:instrText xml:space="preserve"> PAGEREF _Toc124325904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pStyle w:val="20"/>
        <w:tabs>
          <w:tab w:val="right" w:leader="dot" w:pos="8494"/>
        </w:tabs>
        <w:spacing w:line="360" w:lineRule="auto"/>
        <w:rPr>
          <w:rFonts w:ascii="宋体" w:hAnsi="宋体"/>
        </w:rPr>
        <w:sectPr>
          <w:headerReference r:id="rId5" w:type="default"/>
          <w:footerReference r:id="rId6" w:type="default"/>
          <w:pgSz w:w="11906" w:h="16838"/>
          <w:pgMar w:top="1418" w:right="1701" w:bottom="1418" w:left="1701" w:header="851" w:footer="992" w:gutter="0"/>
          <w:pgNumType w:start="1"/>
          <w:cols w:space="425" w:num="1"/>
          <w:docGrid w:type="lines" w:linePitch="312" w:charSpace="0"/>
        </w:sectPr>
      </w:pPr>
      <w:r>
        <w:fldChar w:fldCharType="begin"/>
      </w:r>
      <w:r>
        <w:instrText xml:space="preserve"> HYPERLINK \l "_Toc124325905" </w:instrText>
      </w:r>
      <w:r>
        <w:fldChar w:fldCharType="separate"/>
      </w:r>
      <w:r>
        <w:rPr>
          <w:rStyle w:val="30"/>
          <w:rFonts w:hint="eastAsia" w:ascii="宋体" w:hAnsi="宋体"/>
          <w:sz w:val="28"/>
          <w:szCs w:val="32"/>
        </w:rPr>
        <w:t>二十一、托管协议的签订</w:t>
      </w:r>
      <w:r>
        <w:rPr>
          <w:rFonts w:hint="eastAsia" w:ascii="宋体" w:hAnsi="宋体"/>
          <w:sz w:val="28"/>
        </w:rPr>
        <w:tab/>
      </w:r>
      <w:r>
        <w:rPr>
          <w:rFonts w:hint="eastAsia" w:ascii="宋体" w:hAnsi="宋体"/>
          <w:sz w:val="28"/>
        </w:rPr>
        <w:t>21-</w:t>
      </w:r>
      <w:r>
        <w:rPr>
          <w:rFonts w:hint="eastAsia" w:ascii="宋体" w:hAnsi="宋体"/>
          <w:sz w:val="28"/>
        </w:rPr>
        <w:fldChar w:fldCharType="begin"/>
      </w:r>
      <w:r>
        <w:rPr>
          <w:rFonts w:hint="eastAsia" w:ascii="宋体" w:hAnsi="宋体"/>
          <w:sz w:val="28"/>
        </w:rPr>
        <w:instrText xml:space="preserve"> PAGEREF _Toc124325905 \h </w:instrText>
      </w:r>
      <w:r>
        <w:rPr>
          <w:rFonts w:hint="eastAsia" w:ascii="宋体" w:hAnsi="宋体"/>
          <w:sz w:val="28"/>
        </w:rPr>
        <w:fldChar w:fldCharType="separate"/>
      </w:r>
      <w:r>
        <w:rPr>
          <w:rFonts w:ascii="宋体" w:hAnsi="宋体"/>
          <w:sz w:val="28"/>
        </w:rPr>
        <w:t>1</w:t>
      </w:r>
      <w:r>
        <w:rPr>
          <w:rFonts w:hint="eastAsia" w:ascii="宋体" w:hAnsi="宋体"/>
          <w:sz w:val="28"/>
        </w:rPr>
        <w:fldChar w:fldCharType="end"/>
      </w:r>
      <w:r>
        <w:rPr>
          <w:rFonts w:hint="eastAsia" w:ascii="宋体" w:hAnsi="宋体"/>
          <w:sz w:val="28"/>
        </w:rPr>
        <w:fldChar w:fldCharType="end"/>
      </w:r>
    </w:p>
    <w:p>
      <w:pPr>
        <w:spacing w:line="360" w:lineRule="auto"/>
        <w:rPr>
          <w:rFonts w:ascii="宋体" w:hAnsi="宋体"/>
          <w:sz w:val="24"/>
        </w:rPr>
      </w:pPr>
      <w:r>
        <w:rPr>
          <w:rFonts w:hint="eastAsia" w:ascii="宋体" w:hAnsi="宋体"/>
          <w:sz w:val="28"/>
        </w:rPr>
        <w:fldChar w:fldCharType="end"/>
      </w:r>
    </w:p>
    <w:p>
      <w:pPr>
        <w:widowControl/>
        <w:adjustRightInd w:val="0"/>
        <w:snapToGrid w:val="0"/>
        <w:spacing w:line="360" w:lineRule="auto"/>
        <w:ind w:firstLine="480" w:firstLineChars="200"/>
        <w:rPr>
          <w:rFonts w:ascii="宋体" w:hAnsi="宋体" w:cs="Arial"/>
          <w:kern w:val="0"/>
          <w:sz w:val="24"/>
        </w:rPr>
      </w:pPr>
      <w:r>
        <w:rPr>
          <w:rFonts w:hint="eastAsia" w:ascii="宋体" w:hAnsi="宋体" w:cs="Arial"/>
          <w:kern w:val="0"/>
          <w:sz w:val="24"/>
        </w:rPr>
        <w:t>鉴于博时基金管理有限公司系一家依照中国法律合法成立并有效存续的有限责任公司，按照相关法律法规的规定具备担任基金管理人的资格和能力，拟募集发行博时国证消费电子主题指数型发起式证券投资基金；</w:t>
      </w:r>
    </w:p>
    <w:p>
      <w:pPr>
        <w:widowControl/>
        <w:adjustRightInd w:val="0"/>
        <w:snapToGrid w:val="0"/>
        <w:spacing w:line="360" w:lineRule="auto"/>
        <w:ind w:firstLine="480" w:firstLineChars="200"/>
        <w:rPr>
          <w:rFonts w:ascii="宋体" w:hAnsi="宋体" w:cs="Arial"/>
          <w:kern w:val="0"/>
          <w:sz w:val="24"/>
        </w:rPr>
      </w:pPr>
      <w:r>
        <w:rPr>
          <w:rFonts w:hint="eastAsia" w:ascii="宋体" w:hAnsi="宋体" w:cs="Arial"/>
          <w:kern w:val="0"/>
          <w:sz w:val="24"/>
        </w:rPr>
        <w:t>鉴于中国建设银行股份有限公司系一家依照中国法律合法成立并有效存续的银行，按照相关法律法规的规定具备担任基金托管人的资格和能力；</w:t>
      </w:r>
    </w:p>
    <w:p>
      <w:pPr>
        <w:widowControl/>
        <w:adjustRightInd w:val="0"/>
        <w:snapToGrid w:val="0"/>
        <w:spacing w:line="360" w:lineRule="auto"/>
        <w:ind w:firstLine="480" w:firstLineChars="200"/>
        <w:rPr>
          <w:rFonts w:ascii="宋体" w:hAnsi="宋体" w:cs="Arial"/>
          <w:kern w:val="0"/>
          <w:sz w:val="24"/>
        </w:rPr>
      </w:pPr>
      <w:r>
        <w:rPr>
          <w:rFonts w:hint="eastAsia" w:ascii="宋体" w:hAnsi="宋体" w:cs="Arial"/>
          <w:kern w:val="0"/>
          <w:sz w:val="24"/>
        </w:rPr>
        <w:t>鉴于博时基金管理有限公司拟担任博时国证消费电子主题指数型发起式证券投资基金的基金管理人，中国建设银行股份有限公司拟担任博时国证消费电子主题指数型发起式证券投资基金的基金托管人；</w:t>
      </w:r>
    </w:p>
    <w:p>
      <w:pPr>
        <w:widowControl/>
        <w:adjustRightInd w:val="0"/>
        <w:snapToGrid w:val="0"/>
        <w:spacing w:line="360" w:lineRule="auto"/>
        <w:ind w:firstLine="480" w:firstLineChars="200"/>
        <w:rPr>
          <w:rFonts w:ascii="宋体" w:hAnsi="宋体" w:cs="Arial"/>
          <w:kern w:val="0"/>
          <w:sz w:val="24"/>
        </w:rPr>
      </w:pPr>
      <w:r>
        <w:rPr>
          <w:rFonts w:hint="eastAsia" w:ascii="宋体" w:hAnsi="宋体" w:cs="Arial"/>
          <w:kern w:val="0"/>
          <w:sz w:val="24"/>
        </w:rPr>
        <w:t>为明确博时国证消费电子主题指数型发起式证券投资基金的基金管理人和基金托管人之间的权利义务关系，特制订本托管协议；</w:t>
      </w:r>
    </w:p>
    <w:p>
      <w:pPr>
        <w:widowControl/>
        <w:adjustRightInd w:val="0"/>
        <w:snapToGrid w:val="0"/>
        <w:spacing w:line="360" w:lineRule="auto"/>
        <w:ind w:firstLine="480" w:firstLineChars="200"/>
        <w:rPr>
          <w:rFonts w:ascii="宋体" w:hAnsi="宋体" w:cs="Arial"/>
          <w:kern w:val="0"/>
          <w:sz w:val="24"/>
          <w:lang w:val="en-GB"/>
        </w:rPr>
      </w:pPr>
      <w:r>
        <w:rPr>
          <w:rFonts w:hint="eastAsia" w:ascii="宋体" w:hAnsi="宋体" w:cs="Arial"/>
          <w:kern w:val="0"/>
          <w:sz w:val="24"/>
          <w:lang w:val="en-GB"/>
        </w:rPr>
        <w:t>除非另有约定，《博时国证消费电子主题指数型发起式证券投资基金基金合同》(以下简称“基金合同”)中定义的术语在用于本托管协议时应具有相同的含义；若有抵触应以《基金合同》为准，并依其</w:t>
      </w:r>
      <w:r>
        <w:rPr>
          <w:rFonts w:hint="eastAsia" w:ascii="宋体" w:hAnsi="宋体" w:cs="Arial"/>
          <w:kern w:val="0"/>
          <w:sz w:val="24"/>
        </w:rPr>
        <w:t>条款</w:t>
      </w:r>
      <w:r>
        <w:rPr>
          <w:rFonts w:hint="eastAsia" w:ascii="宋体" w:hAnsi="宋体" w:cs="Arial"/>
          <w:kern w:val="0"/>
          <w:sz w:val="24"/>
          <w:lang w:val="en-GB"/>
        </w:rPr>
        <w:t>解释。</w:t>
      </w:r>
    </w:p>
    <w:p>
      <w:pPr>
        <w:widowControl/>
        <w:adjustRightInd w:val="0"/>
        <w:snapToGrid w:val="0"/>
        <w:spacing w:line="360" w:lineRule="auto"/>
        <w:ind w:firstLine="480" w:firstLineChars="200"/>
        <w:rPr>
          <w:rFonts w:ascii="宋体" w:hAnsi="宋体" w:cs="Arial"/>
          <w:kern w:val="0"/>
          <w:sz w:val="24"/>
          <w:lang w:val="en-GB"/>
        </w:rPr>
      </w:pPr>
    </w:p>
    <w:p>
      <w:pPr>
        <w:spacing w:line="360" w:lineRule="auto"/>
        <w:rPr>
          <w:rFonts w:ascii="宋体" w:hAnsi="宋体"/>
          <w:sz w:val="24"/>
          <w:lang w:val="en-GB"/>
        </w:rPr>
        <w:sectPr>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rPr>
      </w:pPr>
      <w:bookmarkStart w:id="0" w:name="_Toc124325885"/>
      <w:r>
        <w:rPr>
          <w:rFonts w:hint="eastAsia" w:ascii="宋体" w:hAnsi="宋体" w:eastAsia="宋体"/>
        </w:rPr>
        <w:t>一、基金托管协议当事人</w:t>
      </w:r>
      <w:bookmarkEnd w:id="0"/>
    </w:p>
    <w:p>
      <w:pPr>
        <w:adjustRightInd w:val="0"/>
        <w:snapToGrid w:val="0"/>
        <w:spacing w:line="360" w:lineRule="auto"/>
        <w:ind w:firstLine="480" w:firstLineChars="200"/>
        <w:rPr>
          <w:rFonts w:ascii="宋体" w:hAnsi="宋体" w:cs="Arial"/>
          <w:sz w:val="24"/>
        </w:rPr>
      </w:pPr>
      <w:r>
        <w:rPr>
          <w:rFonts w:hint="eastAsia" w:ascii="宋体" w:hAnsi="宋体" w:cs="Arial"/>
          <w:sz w:val="24"/>
        </w:rPr>
        <w:t>（一）基金管理人</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名称：博时基金管理有限公司</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住所：深圳市福田区莲花街道福新社区益田路5999号基金大厦21层</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办公地址：广东省深圳市福田区益田路5999号基金大厦21层</w:t>
      </w:r>
    </w:p>
    <w:p>
      <w:pPr>
        <w:adjustRightInd w:val="0"/>
        <w:snapToGrid w:val="0"/>
        <w:spacing w:line="360" w:lineRule="auto"/>
        <w:ind w:firstLine="480" w:firstLineChars="200"/>
        <w:rPr>
          <w:rFonts w:ascii="宋体" w:hAnsi="宋体" w:cs="Arial"/>
          <w:sz w:val="24"/>
        </w:rPr>
      </w:pPr>
      <w:r>
        <w:rPr>
          <w:rFonts w:hint="eastAsia" w:ascii="宋体" w:hAnsi="宋体" w:cs="Arial"/>
          <w:sz w:val="24"/>
        </w:rPr>
        <w:t>邮政编码：</w:t>
      </w:r>
      <w:r>
        <w:rPr>
          <w:rFonts w:ascii="宋体" w:hAnsi="宋体" w:cs="Arial"/>
          <w:sz w:val="24"/>
        </w:rPr>
        <w:t>518040</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法定代表人：江向阳</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成立日期：1998</w:t>
      </w:r>
      <w:r>
        <w:rPr>
          <w:rFonts w:hint="eastAsia" w:ascii="宋体" w:hAnsi="宋体"/>
        </w:rPr>
        <w:t>年7月13日</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批准设立机关及批准设立文号：中国证监会证监基字</w:t>
      </w:r>
      <w:r>
        <w:rPr>
          <w:rFonts w:hint="eastAsia" w:ascii="宋体" w:hAnsi="宋体"/>
        </w:rPr>
        <w:t>[</w:t>
      </w:r>
      <w:r>
        <w:rPr>
          <w:rFonts w:ascii="宋体" w:hAnsi="宋体"/>
        </w:rPr>
        <w:t>1998</w:t>
      </w:r>
      <w:r>
        <w:rPr>
          <w:rFonts w:hint="eastAsia" w:ascii="宋体" w:hAnsi="宋体"/>
        </w:rPr>
        <w:t>]26</w:t>
      </w:r>
      <w:r>
        <w:rPr>
          <w:rFonts w:hint="eastAsia" w:ascii="宋体" w:hAnsi="宋体" w:cs="Arial"/>
          <w:sz w:val="24"/>
        </w:rPr>
        <w:t>号</w:t>
      </w:r>
    </w:p>
    <w:p>
      <w:pPr>
        <w:adjustRightInd w:val="0"/>
        <w:snapToGrid w:val="0"/>
        <w:spacing w:line="360" w:lineRule="auto"/>
        <w:ind w:firstLine="480" w:firstLineChars="200"/>
        <w:rPr>
          <w:rFonts w:ascii="宋体" w:hAnsi="宋体" w:cs="Arial"/>
          <w:sz w:val="24"/>
        </w:rPr>
      </w:pPr>
      <w:r>
        <w:rPr>
          <w:rFonts w:hint="eastAsia" w:ascii="宋体" w:hAnsi="宋体" w:cs="Arial"/>
          <w:sz w:val="24"/>
        </w:rPr>
        <w:t>组织形式：有限责任公司</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注册资本：</w:t>
      </w:r>
      <w:r>
        <w:rPr>
          <w:rFonts w:ascii="宋体" w:hAnsi="宋体" w:cs="Arial"/>
          <w:sz w:val="24"/>
        </w:rPr>
        <w:t>2.5</w:t>
      </w:r>
      <w:r>
        <w:rPr>
          <w:rFonts w:hint="eastAsia" w:ascii="宋体" w:hAnsi="宋体" w:cs="Arial"/>
          <w:sz w:val="24"/>
        </w:rPr>
        <w:t>亿</w:t>
      </w:r>
      <w:r>
        <w:rPr>
          <w:rFonts w:hint="eastAsia" w:ascii="宋体" w:hAnsi="宋体"/>
        </w:rPr>
        <w:t>元</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存续期间：持续经营</w:t>
      </w:r>
    </w:p>
    <w:p>
      <w:pPr>
        <w:adjustRightInd w:val="0"/>
        <w:snapToGrid w:val="0"/>
        <w:spacing w:line="360" w:lineRule="auto"/>
        <w:ind w:firstLine="480" w:firstLineChars="200"/>
        <w:rPr>
          <w:rFonts w:ascii="宋体" w:hAnsi="宋体" w:cs="Arial"/>
          <w:sz w:val="24"/>
        </w:rPr>
      </w:pPr>
      <w:r>
        <w:rPr>
          <w:rFonts w:hint="eastAsia" w:ascii="宋体" w:hAnsi="宋体" w:cs="Arial"/>
          <w:sz w:val="24"/>
        </w:rPr>
        <w:t>经营范围：基金募集；基金销售；资产管理以及中国证监会许可的其它业务。</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（二）基金托管人</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名称：中国建设银行股份有限公司</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住所：北京市西城区金融大街25号</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办公地址：北京市西城区闹市口大街1号院1号楼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邮政编码：100033</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法定代表人：田国立</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成立日期：2004年09月17日</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基金托管业务批准文号：中国证监会证监基字[1998</w:t>
      </w:r>
      <w:bookmarkStart w:id="1" w:name="OLE_LINK3"/>
      <w:r>
        <w:rPr>
          <w:rFonts w:hint="eastAsia" w:ascii="宋体" w:hAnsi="宋体" w:cs="Arial"/>
          <w:sz w:val="24"/>
        </w:rPr>
        <w:t>]</w:t>
      </w:r>
      <w:bookmarkEnd w:id="1"/>
      <w:r>
        <w:rPr>
          <w:rFonts w:hint="eastAsia" w:ascii="宋体" w:hAnsi="宋体" w:cs="Arial"/>
          <w:sz w:val="24"/>
        </w:rPr>
        <w:t>12号</w:t>
      </w:r>
    </w:p>
    <w:p>
      <w:pPr>
        <w:adjustRightInd w:val="0"/>
        <w:snapToGrid w:val="0"/>
        <w:spacing w:line="360" w:lineRule="auto"/>
        <w:ind w:firstLine="480" w:firstLineChars="200"/>
        <w:rPr>
          <w:rFonts w:ascii="宋体" w:hAnsi="宋体" w:cs="Arial"/>
          <w:sz w:val="24"/>
        </w:rPr>
      </w:pPr>
      <w:r>
        <w:rPr>
          <w:rFonts w:hint="eastAsia" w:ascii="宋体" w:hAnsi="宋体" w:cs="Arial"/>
          <w:sz w:val="24"/>
        </w:rPr>
        <w:t>组织形式：股份有限公司</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注册资本：</w:t>
      </w:r>
      <w:r>
        <w:rPr>
          <w:rFonts w:hint="eastAsia" w:ascii="宋体" w:hAnsi="宋体"/>
          <w:sz w:val="24"/>
        </w:rPr>
        <w:t>贰仟伍佰亿壹仟零玖拾柒万柒仟肆佰捌拾陆元整</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存续期间：持续经营</w:t>
      </w:r>
    </w:p>
    <w:p>
      <w:pPr>
        <w:tabs>
          <w:tab w:val="left" w:pos="540"/>
        </w:tabs>
        <w:adjustRightInd w:val="0"/>
        <w:snapToGrid w:val="0"/>
        <w:spacing w:line="360" w:lineRule="auto"/>
        <w:ind w:firstLine="480" w:firstLineChars="200"/>
        <w:rPr>
          <w:rFonts w:ascii="宋体" w:hAnsi="宋体" w:cs="Arial"/>
          <w:sz w:val="24"/>
        </w:rPr>
      </w:pPr>
      <w:r>
        <w:rPr>
          <w:rFonts w:hint="eastAsia" w:ascii="宋体" w:hAnsi="宋体" w:cs="Arial"/>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pPr>
        <w:spacing w:line="360" w:lineRule="auto"/>
        <w:rPr>
          <w:rFonts w:ascii="宋体" w:hAnsi="宋体"/>
          <w:sz w:val="24"/>
        </w:rPr>
        <w:sectPr>
          <w:footerReference r:id="rId7"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2" w:name="_Toc124325886"/>
      <w:r>
        <w:rPr>
          <w:rFonts w:hint="eastAsia" w:ascii="宋体" w:hAnsi="宋体" w:eastAsia="宋体"/>
          <w:sz w:val="30"/>
        </w:rPr>
        <w:t>二、基金托管协议的依据、目的和原则</w:t>
      </w:r>
      <w:bookmarkEnd w:id="2"/>
    </w:p>
    <w:p>
      <w:pPr>
        <w:adjustRightInd w:val="0"/>
        <w:snapToGrid w:val="0"/>
        <w:spacing w:line="360" w:lineRule="auto"/>
        <w:ind w:firstLine="480" w:firstLineChars="200"/>
        <w:rPr>
          <w:rFonts w:ascii="宋体" w:hAnsi="宋体"/>
          <w:sz w:val="24"/>
          <w:szCs w:val="30"/>
        </w:rPr>
      </w:pPr>
      <w:r>
        <w:rPr>
          <w:rFonts w:hint="eastAsia" w:ascii="宋体" w:hAnsi="宋体" w:cs="Arial"/>
          <w:sz w:val="24"/>
        </w:rPr>
        <w:t>（一）订立托管协议的依据</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本协议依据《中华人民共和国证券投资基金法》(以下简称“《基金法》”)等有关法律法规、《基金合同》及其他有关规定制订。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（二）订立托管协议的目的</w:t>
      </w:r>
    </w:p>
    <w:p>
      <w:pPr>
        <w:adjustRightInd w:val="0"/>
        <w:snapToGrid w:val="0"/>
        <w:spacing w:line="360" w:lineRule="auto"/>
        <w:ind w:firstLine="480" w:firstLineChars="200"/>
        <w:rPr>
          <w:rFonts w:ascii="宋体" w:hAnsi="宋体"/>
          <w:sz w:val="24"/>
          <w:szCs w:val="30"/>
        </w:rPr>
      </w:pPr>
      <w:r>
        <w:rPr>
          <w:rFonts w:hint="eastAsia" w:ascii="宋体" w:hAnsi="宋体" w:cs="Arial"/>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（三）订立托管协议的原则</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基金管理人和基金托管人本着平等自愿、诚实信用、充分保护基金份额持有人合法权益的原则，经协商一致，签订本协议。</w:t>
      </w:r>
    </w:p>
    <w:p>
      <w:pPr>
        <w:spacing w:line="360" w:lineRule="auto"/>
        <w:rPr>
          <w:rFonts w:ascii="宋体" w:hAnsi="宋体"/>
          <w:sz w:val="24"/>
        </w:rPr>
        <w:sectPr>
          <w:footerReference r:id="rId8"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szCs w:val="24"/>
        </w:rPr>
      </w:pPr>
      <w:bookmarkStart w:id="3" w:name="_Toc124325887"/>
      <w:r>
        <w:rPr>
          <w:rFonts w:hint="eastAsia" w:ascii="宋体" w:hAnsi="宋体" w:eastAsia="宋体"/>
          <w:sz w:val="30"/>
        </w:rPr>
        <w:t>三、基金托管人对基金管理人的业务监督和核查</w:t>
      </w:r>
      <w:bookmarkEnd w:id="3"/>
    </w:p>
    <w:p>
      <w:pPr>
        <w:adjustRightInd w:val="0"/>
        <w:snapToGrid w:val="0"/>
        <w:spacing w:line="360" w:lineRule="auto"/>
        <w:ind w:firstLine="480" w:firstLineChars="200"/>
        <w:rPr>
          <w:rFonts w:ascii="宋体" w:hAnsi="宋体" w:cs="Arial"/>
          <w:sz w:val="24"/>
        </w:rPr>
      </w:pPr>
      <w:r>
        <w:rPr>
          <w:rFonts w:hint="eastAsia" w:ascii="宋体" w:hAnsi="宋体" w:cs="Arial"/>
          <w:sz w:val="24"/>
        </w:rPr>
        <w:t>（一）基金托管人根据有关法律法规的规定及《基金合同》的约定，对基金投资范围、投资对象进行监督。《基金合同》明确约定基金投资风格或证券选择标准的，基金管理人应将拟投资的标的证券库等各投资品种的具体范围提供给基金托管人，基金管理人可以根据实际情况的变化，对各投资品种的具体范围予以更新和调整并及时通知基金托管人。基金托管人根据上述投资范围对基金实际投资是否符合《基金合同》关于证券选择标准的约定进行监督。</w:t>
      </w:r>
    </w:p>
    <w:p>
      <w:pPr>
        <w:snapToGrid w:val="0"/>
        <w:spacing w:line="360" w:lineRule="auto"/>
        <w:ind w:firstLine="480"/>
        <w:rPr>
          <w:rFonts w:ascii="Arial" w:hAnsi="Arial" w:cs="Arial"/>
          <w:sz w:val="24"/>
        </w:rPr>
      </w:pPr>
      <w:r>
        <w:rPr>
          <w:rFonts w:hint="eastAsia" w:ascii="Arial" w:hAnsi="Arial" w:cs="Arial"/>
          <w:sz w:val="24"/>
        </w:rPr>
        <w:t>本基金主要投资于标的指数成份股和备选成份股（含存托凭证）。</w:t>
      </w:r>
    </w:p>
    <w:p>
      <w:pPr>
        <w:snapToGrid w:val="0"/>
        <w:spacing w:line="360" w:lineRule="auto"/>
        <w:ind w:firstLine="480"/>
        <w:rPr>
          <w:rFonts w:ascii="Arial" w:hAnsi="Arial" w:cs="Arial"/>
          <w:sz w:val="24"/>
        </w:rPr>
      </w:pPr>
      <w:r>
        <w:rPr>
          <w:rFonts w:ascii="Arial" w:hAnsi="Arial" w:cs="Arial"/>
          <w:sz w:val="24"/>
        </w:rPr>
        <w:t>为更好地实现基金的投资目标，本基金可能会少量投资于依法发行上市的非成份股（包括创业板及其他经中国证监会核准或注册上市的股票、存托凭证）、债券（包括国债、金融债、地方政府债、政府支持机构债券、企业债、公司债</w:t>
      </w:r>
      <w:r>
        <w:rPr>
          <w:rFonts w:hint="eastAsia" w:ascii="Arial" w:hAnsi="Arial" w:cs="Arial"/>
          <w:sz w:val="24"/>
        </w:rPr>
        <w:t>、公开发行的次级债</w:t>
      </w:r>
      <w:r>
        <w:rPr>
          <w:rFonts w:ascii="Arial" w:hAnsi="Arial" w:cs="Arial"/>
          <w:sz w:val="24"/>
        </w:rPr>
        <w:t>、可转换债券（含分离交易可转债的纯债部分）、可交换债券、央行票据、短期融资券、超短期融资券、中期票据等）、资产支持证券、衍生工具（</w:t>
      </w:r>
      <w:r>
        <w:rPr>
          <w:rFonts w:hint="eastAsia" w:ascii="Arial" w:hAnsi="Arial" w:cs="Arial"/>
          <w:sz w:val="24"/>
        </w:rPr>
        <w:t>包括</w:t>
      </w:r>
      <w:r>
        <w:rPr>
          <w:rFonts w:ascii="Arial" w:hAnsi="Arial" w:cs="Arial"/>
          <w:sz w:val="24"/>
        </w:rPr>
        <w:t>股指期货、国债期货、股票期权）、债券回购、货币市场工具（包括银行存款、同业存单等）以及法律法规或中国证监会允许基金投资的其他金融工具（但须符合中国证监会的相关规定）。</w:t>
      </w:r>
    </w:p>
    <w:p>
      <w:pPr>
        <w:snapToGrid w:val="0"/>
        <w:spacing w:line="360" w:lineRule="auto"/>
        <w:ind w:firstLine="480"/>
        <w:rPr>
          <w:rFonts w:ascii="Arial" w:hAnsi="Arial" w:cs="Arial"/>
          <w:sz w:val="24"/>
        </w:rPr>
      </w:pPr>
      <w:r>
        <w:rPr>
          <w:rFonts w:hint="eastAsia" w:ascii="Arial" w:hAnsi="Arial" w:cs="Arial"/>
          <w:sz w:val="24"/>
        </w:rPr>
        <w:t>本基金可根据法律法规的规定参与融资及转融通证券出借业务。未来在法律法规允许的前提下，本基金可根据相关法律法规规定参与融券业务。</w:t>
      </w:r>
    </w:p>
    <w:p>
      <w:pPr>
        <w:snapToGrid w:val="0"/>
        <w:spacing w:line="360" w:lineRule="auto"/>
        <w:ind w:firstLine="480"/>
        <w:rPr>
          <w:rFonts w:ascii="宋体" w:hAnsi="宋体"/>
          <w:sz w:val="24"/>
        </w:rPr>
      </w:pPr>
      <w:r>
        <w:rPr>
          <w:rFonts w:hint="eastAsia" w:ascii="Arial" w:hAnsi="Arial" w:cs="Arial"/>
          <w:sz w:val="24"/>
        </w:rPr>
        <w:t>本基金根据相关法律法规或中国证监会要求履行相关手续后，还可以投资于法律法规或中国证监会未来允许基金投资的其他金融工具</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（二）基金托管人根据有关法律法规的规定及《基金合同》的约定，对基金投资、融资比例进行监督。基金托管人按下述比例和调整期限进行监督：</w:t>
      </w:r>
    </w:p>
    <w:p>
      <w:pPr>
        <w:snapToGrid w:val="0"/>
        <w:spacing w:line="360" w:lineRule="auto"/>
        <w:ind w:firstLine="422"/>
        <w:rPr>
          <w:rFonts w:ascii="宋体" w:cs="宋体"/>
          <w:sz w:val="24"/>
        </w:rPr>
      </w:pPr>
      <w:r>
        <w:rPr>
          <w:rFonts w:hint="eastAsia" w:ascii="宋体" w:hAnsi="宋体"/>
          <w:sz w:val="24"/>
        </w:rPr>
        <w:t>基金的投资组合比例为：</w:t>
      </w:r>
      <w:r>
        <w:rPr>
          <w:rFonts w:hint="eastAsia" w:ascii="宋体" w:cs="宋体"/>
          <w:sz w:val="24"/>
        </w:rPr>
        <w:t>本基金的股票资产投资比例不低于基金资产的90%，其中投资于标的指数成份股和备选成份股的资产不低于非现金基金资产的80%；每个交易日日终在扣除股指期货、股票期权和国债期货合约需缴纳的交易保证金后，保持不低于基金资产净值5%的现金或者到期日在一年以内的政府债券，其中现金不包括结算备付金、存出保证金和应收申购款等；股指期货、股票期权、国债期货及其他金融工具的投资比例依照法律法规或监管机构的规定执行。</w:t>
      </w:r>
    </w:p>
    <w:p>
      <w:pPr>
        <w:snapToGrid w:val="0"/>
        <w:spacing w:line="360" w:lineRule="auto"/>
        <w:ind w:firstLine="422"/>
        <w:rPr>
          <w:rFonts w:ascii="宋体" w:cs="宋体"/>
          <w:sz w:val="24"/>
        </w:rPr>
      </w:pPr>
      <w:r>
        <w:rPr>
          <w:rFonts w:hint="eastAsia" w:ascii="宋体" w:cs="宋体"/>
          <w:sz w:val="24"/>
        </w:rPr>
        <w:t>若法律法规的相关规定发生变更或监管机构允许，本基金管理人在履行适当程序后，可对上述资产配置比例进行调整。</w:t>
      </w:r>
    </w:p>
    <w:p>
      <w:pPr>
        <w:adjustRightInd w:val="0"/>
        <w:snapToGrid w:val="0"/>
        <w:spacing w:line="360" w:lineRule="auto"/>
        <w:ind w:firstLine="480" w:firstLineChars="200"/>
        <w:rPr>
          <w:rFonts w:ascii="宋体" w:hAnsi="宋体"/>
          <w:sz w:val="24"/>
        </w:rPr>
      </w:pPr>
      <w:r>
        <w:rPr>
          <w:rFonts w:hint="eastAsia" w:ascii="宋体" w:hAnsi="宋体"/>
          <w:sz w:val="24"/>
        </w:rPr>
        <w:t>基金的投资组合应遵循以下限制：</w:t>
      </w:r>
    </w:p>
    <w:p>
      <w:pPr>
        <w:snapToGrid w:val="0"/>
        <w:spacing w:line="360" w:lineRule="auto"/>
        <w:ind w:firstLine="422"/>
        <w:rPr>
          <w:rFonts w:ascii="宋体" w:cs="宋体"/>
          <w:sz w:val="24"/>
        </w:rPr>
      </w:pPr>
      <w:r>
        <w:rPr>
          <w:rFonts w:hint="eastAsia" w:ascii="宋体" w:cs="宋体"/>
          <w:sz w:val="24"/>
        </w:rPr>
        <w:t>（</w:t>
      </w:r>
      <w:r>
        <w:rPr>
          <w:rFonts w:ascii="宋体" w:cs="宋体"/>
          <w:sz w:val="24"/>
        </w:rPr>
        <w:t>1</w:t>
      </w:r>
      <w:r>
        <w:rPr>
          <w:rFonts w:hint="eastAsia" w:ascii="宋体" w:cs="宋体"/>
          <w:sz w:val="24"/>
        </w:rPr>
        <w:t>）本基金的股票资产投资比例不低于基金资产的90%，其中投资于标的指数成份股和备选成份股的资产不低于非现金基金资产的80%；</w:t>
      </w:r>
    </w:p>
    <w:p>
      <w:pPr>
        <w:snapToGrid w:val="0"/>
        <w:spacing w:line="360" w:lineRule="auto"/>
        <w:ind w:firstLine="422"/>
        <w:rPr>
          <w:rFonts w:ascii="宋体" w:cs="宋体"/>
          <w:sz w:val="24"/>
        </w:rPr>
      </w:pPr>
      <w:r>
        <w:rPr>
          <w:rFonts w:hint="eastAsia" w:ascii="宋体" w:cs="宋体"/>
          <w:sz w:val="24"/>
        </w:rPr>
        <w:t>（</w:t>
      </w:r>
      <w:r>
        <w:rPr>
          <w:rFonts w:ascii="宋体" w:cs="宋体"/>
          <w:sz w:val="24"/>
        </w:rPr>
        <w:t>2</w:t>
      </w:r>
      <w:r>
        <w:rPr>
          <w:rFonts w:hint="eastAsia" w:ascii="宋体" w:cs="宋体"/>
          <w:sz w:val="24"/>
        </w:rPr>
        <w:t>）每个交易日日终在扣除股指期货、股票期权和国债期货合约需缴纳的交易保证金后，保持不低于基金资产净值5%的现金或者到期日在一年以内的政府债券，其中现金不包括结算备付金、存出保证金和应收申购款等；</w:t>
      </w:r>
    </w:p>
    <w:p>
      <w:pPr>
        <w:snapToGrid w:val="0"/>
        <w:spacing w:line="360" w:lineRule="auto"/>
        <w:ind w:firstLine="422"/>
        <w:rPr>
          <w:rFonts w:ascii="宋体" w:cs="宋体"/>
          <w:sz w:val="24"/>
        </w:rPr>
      </w:pPr>
      <w:r>
        <w:rPr>
          <w:rFonts w:hint="eastAsia" w:ascii="宋体" w:cs="宋体"/>
          <w:sz w:val="24"/>
        </w:rPr>
        <w:t>（</w:t>
      </w:r>
      <w:r>
        <w:rPr>
          <w:rFonts w:ascii="宋体" w:cs="宋体"/>
          <w:sz w:val="24"/>
        </w:rPr>
        <w:t>3</w:t>
      </w:r>
      <w:r>
        <w:rPr>
          <w:rFonts w:hint="eastAsia" w:ascii="宋体" w:cs="宋体"/>
          <w:sz w:val="24"/>
        </w:rPr>
        <w:t>）本基金持有一家公司发行的证券，其市值不超过基金资产净值的10%，但完全按照标的指数的构成比例进行投资的部分不受此限制；</w:t>
      </w:r>
    </w:p>
    <w:p>
      <w:pPr>
        <w:snapToGrid w:val="0"/>
        <w:spacing w:line="360" w:lineRule="auto"/>
        <w:ind w:firstLine="422"/>
        <w:rPr>
          <w:rFonts w:ascii="宋体" w:cs="宋体"/>
          <w:sz w:val="24"/>
        </w:rPr>
      </w:pPr>
      <w:r>
        <w:rPr>
          <w:rFonts w:hint="eastAsia" w:ascii="宋体" w:cs="宋体"/>
          <w:sz w:val="24"/>
        </w:rPr>
        <w:t>（</w:t>
      </w:r>
      <w:r>
        <w:rPr>
          <w:rFonts w:ascii="宋体" w:cs="宋体"/>
          <w:sz w:val="24"/>
        </w:rPr>
        <w:t>4</w:t>
      </w:r>
      <w:r>
        <w:rPr>
          <w:rFonts w:hint="eastAsia" w:ascii="宋体" w:cs="宋体"/>
          <w:sz w:val="24"/>
        </w:rPr>
        <w:t>）本基金管理人管理且由本基金托管人托管的全部基金持有一家公司发行的证券，不超过该证券的10%，但完全按照标的指数的构成比例进行投资的部分不受此限制；</w:t>
      </w:r>
    </w:p>
    <w:p>
      <w:pPr>
        <w:snapToGrid w:val="0"/>
        <w:spacing w:line="360" w:lineRule="auto"/>
        <w:ind w:firstLine="422"/>
        <w:rPr>
          <w:rFonts w:ascii="宋体" w:cs="宋体"/>
          <w:sz w:val="24"/>
        </w:rPr>
      </w:pPr>
      <w:r>
        <w:rPr>
          <w:rFonts w:hint="eastAsia" w:ascii="宋体" w:cs="宋体"/>
          <w:sz w:val="24"/>
        </w:rPr>
        <w:t>（</w:t>
      </w:r>
      <w:r>
        <w:rPr>
          <w:rFonts w:ascii="宋体" w:cs="宋体"/>
          <w:sz w:val="24"/>
        </w:rPr>
        <w:t>5</w:t>
      </w:r>
      <w:r>
        <w:rPr>
          <w:rFonts w:hint="eastAsia" w:ascii="宋体" w:cs="宋体"/>
          <w:sz w:val="24"/>
        </w:rPr>
        <w:t>）本基金资产总值不得超过基金资产净值的140%；</w:t>
      </w:r>
    </w:p>
    <w:p>
      <w:pPr>
        <w:snapToGrid w:val="0"/>
        <w:spacing w:line="360" w:lineRule="auto"/>
        <w:ind w:firstLine="422"/>
        <w:rPr>
          <w:rFonts w:ascii="宋体" w:cs="宋体"/>
          <w:sz w:val="24"/>
        </w:rPr>
      </w:pPr>
      <w:r>
        <w:rPr>
          <w:rFonts w:hint="eastAsia" w:ascii="宋体" w:cs="宋体"/>
          <w:sz w:val="24"/>
        </w:rPr>
        <w:t>（</w:t>
      </w:r>
      <w:r>
        <w:rPr>
          <w:rFonts w:ascii="宋体" w:cs="宋体"/>
          <w:sz w:val="24"/>
        </w:rPr>
        <w:t>6</w:t>
      </w:r>
      <w:r>
        <w:rPr>
          <w:rFonts w:hint="eastAsia" w:ascii="宋体" w:cs="宋体"/>
          <w:sz w:val="24"/>
        </w:rPr>
        <w:t>）本基金投资于同一原始权益人的各类资产支持证券的比例，不得超过基金资产净值的</w:t>
      </w:r>
      <w:r>
        <w:rPr>
          <w:rFonts w:ascii="宋体" w:cs="宋体"/>
          <w:sz w:val="24"/>
        </w:rPr>
        <w:t>10%</w:t>
      </w:r>
      <w:r>
        <w:rPr>
          <w:rFonts w:hint="eastAsia" w:ascii="宋体" w:cs="宋体"/>
          <w:sz w:val="24"/>
        </w:rPr>
        <w:t>；</w:t>
      </w:r>
    </w:p>
    <w:p>
      <w:pPr>
        <w:snapToGrid w:val="0"/>
        <w:spacing w:line="360" w:lineRule="auto"/>
        <w:ind w:firstLine="422"/>
        <w:rPr>
          <w:rFonts w:ascii="宋体" w:cs="宋体"/>
          <w:sz w:val="24"/>
        </w:rPr>
      </w:pPr>
      <w:r>
        <w:rPr>
          <w:rFonts w:hint="eastAsia" w:ascii="宋体" w:cs="宋体"/>
          <w:sz w:val="24"/>
        </w:rPr>
        <w:t>（</w:t>
      </w:r>
      <w:r>
        <w:rPr>
          <w:rFonts w:ascii="宋体" w:cs="宋体"/>
          <w:sz w:val="24"/>
        </w:rPr>
        <w:t>7</w:t>
      </w:r>
      <w:r>
        <w:rPr>
          <w:rFonts w:hint="eastAsia" w:ascii="宋体" w:cs="宋体"/>
          <w:sz w:val="24"/>
        </w:rPr>
        <w:t>）本基金持有的全部资产支持证券，其市值不得超过基金资产净值的</w:t>
      </w:r>
      <w:r>
        <w:rPr>
          <w:rFonts w:ascii="宋体" w:cs="宋体"/>
          <w:sz w:val="24"/>
        </w:rPr>
        <w:t>20%</w:t>
      </w:r>
      <w:r>
        <w:rPr>
          <w:rFonts w:hint="eastAsia" w:ascii="宋体" w:cs="宋体"/>
          <w:sz w:val="24"/>
        </w:rPr>
        <w:t>；</w:t>
      </w:r>
    </w:p>
    <w:p>
      <w:pPr>
        <w:snapToGrid w:val="0"/>
        <w:spacing w:line="360" w:lineRule="auto"/>
        <w:ind w:firstLine="422"/>
        <w:rPr>
          <w:rFonts w:ascii="宋体" w:cs="宋体"/>
          <w:sz w:val="24"/>
        </w:rPr>
      </w:pPr>
      <w:r>
        <w:rPr>
          <w:rFonts w:hint="eastAsia" w:ascii="宋体" w:cs="宋体"/>
          <w:sz w:val="24"/>
        </w:rPr>
        <w:t>（</w:t>
      </w:r>
      <w:r>
        <w:rPr>
          <w:rFonts w:ascii="宋体" w:cs="宋体"/>
          <w:sz w:val="24"/>
        </w:rPr>
        <w:t>8</w:t>
      </w:r>
      <w:r>
        <w:rPr>
          <w:rFonts w:hint="eastAsia" w:ascii="宋体" w:cs="宋体"/>
          <w:sz w:val="24"/>
        </w:rPr>
        <w:t>）本基金持有的同一</w:t>
      </w:r>
      <w:r>
        <w:rPr>
          <w:rFonts w:ascii="宋体" w:cs="宋体"/>
          <w:sz w:val="24"/>
        </w:rPr>
        <w:t>(</w:t>
      </w:r>
      <w:r>
        <w:rPr>
          <w:rFonts w:hint="eastAsia" w:ascii="宋体" w:cs="宋体"/>
          <w:sz w:val="24"/>
        </w:rPr>
        <w:t>指同一信用级别</w:t>
      </w:r>
      <w:r>
        <w:rPr>
          <w:rFonts w:ascii="宋体" w:cs="宋体"/>
          <w:sz w:val="24"/>
        </w:rPr>
        <w:t>)</w:t>
      </w:r>
      <w:r>
        <w:rPr>
          <w:rFonts w:hint="eastAsia" w:ascii="宋体" w:cs="宋体"/>
          <w:sz w:val="24"/>
        </w:rPr>
        <w:t>资产支持证券的比例，不得超过该资产支持证券规模的</w:t>
      </w:r>
      <w:r>
        <w:rPr>
          <w:rFonts w:ascii="宋体" w:cs="宋体"/>
          <w:sz w:val="24"/>
        </w:rPr>
        <w:t>10%</w:t>
      </w:r>
      <w:r>
        <w:rPr>
          <w:rFonts w:hint="eastAsia" w:ascii="宋体" w:cs="宋体"/>
          <w:sz w:val="24"/>
        </w:rPr>
        <w:t>；</w:t>
      </w:r>
    </w:p>
    <w:p>
      <w:pPr>
        <w:snapToGrid w:val="0"/>
        <w:spacing w:line="360" w:lineRule="auto"/>
        <w:ind w:firstLine="422"/>
        <w:rPr>
          <w:rFonts w:ascii="宋体" w:cs="宋体"/>
          <w:sz w:val="24"/>
        </w:rPr>
      </w:pPr>
      <w:r>
        <w:rPr>
          <w:rFonts w:hint="eastAsia" w:ascii="宋体" w:cs="宋体"/>
          <w:sz w:val="24"/>
        </w:rPr>
        <w:t>（</w:t>
      </w:r>
      <w:r>
        <w:rPr>
          <w:rFonts w:ascii="宋体" w:cs="宋体"/>
          <w:sz w:val="24"/>
        </w:rPr>
        <w:t>9</w:t>
      </w:r>
      <w:r>
        <w:rPr>
          <w:rFonts w:hint="eastAsia" w:ascii="宋体" w:cs="宋体"/>
          <w:sz w:val="24"/>
        </w:rPr>
        <w:t>）本基金管理人管理且由本基金托管人托管的全部基金投资于同一原始权益人的各类资产支持证券，不得超过其各类资产支持证券合计规模的</w:t>
      </w:r>
      <w:r>
        <w:rPr>
          <w:rFonts w:ascii="宋体" w:cs="宋体"/>
          <w:sz w:val="24"/>
        </w:rPr>
        <w:t>10%</w:t>
      </w:r>
      <w:r>
        <w:rPr>
          <w:rFonts w:hint="eastAsia" w:ascii="宋体" w:cs="宋体"/>
          <w:sz w:val="24"/>
        </w:rPr>
        <w:t>；</w:t>
      </w:r>
    </w:p>
    <w:p>
      <w:pPr>
        <w:snapToGrid w:val="0"/>
        <w:spacing w:line="360" w:lineRule="auto"/>
        <w:ind w:firstLine="422"/>
        <w:rPr>
          <w:rFonts w:ascii="宋体" w:cs="宋体"/>
          <w:sz w:val="24"/>
        </w:rPr>
      </w:pPr>
      <w:r>
        <w:rPr>
          <w:rFonts w:hint="eastAsia" w:ascii="宋体" w:cs="宋体"/>
          <w:sz w:val="24"/>
        </w:rPr>
        <w:t>（</w:t>
      </w:r>
      <w:r>
        <w:rPr>
          <w:rFonts w:ascii="宋体" w:cs="宋体"/>
          <w:sz w:val="24"/>
        </w:rPr>
        <w:t>10</w:t>
      </w:r>
      <w:r>
        <w:rPr>
          <w:rFonts w:hint="eastAsia" w:ascii="宋体" w:cs="宋体"/>
          <w:sz w:val="24"/>
        </w:rPr>
        <w:t>）本基金应投资于信用级别评级为</w:t>
      </w:r>
      <w:r>
        <w:rPr>
          <w:rFonts w:ascii="宋体" w:cs="宋体"/>
          <w:sz w:val="24"/>
        </w:rPr>
        <w:t>BBB</w:t>
      </w:r>
      <w:r>
        <w:rPr>
          <w:rFonts w:hint="eastAsia" w:ascii="宋体" w:cs="宋体"/>
          <w:sz w:val="24"/>
        </w:rPr>
        <w:t>以上</w:t>
      </w:r>
      <w:r>
        <w:rPr>
          <w:rFonts w:ascii="宋体" w:cs="宋体"/>
          <w:sz w:val="24"/>
        </w:rPr>
        <w:t>(</w:t>
      </w:r>
      <w:r>
        <w:rPr>
          <w:rFonts w:hint="eastAsia" w:ascii="宋体" w:cs="宋体"/>
          <w:sz w:val="24"/>
        </w:rPr>
        <w:t>含</w:t>
      </w:r>
      <w:r>
        <w:rPr>
          <w:rFonts w:ascii="宋体" w:cs="宋体"/>
          <w:sz w:val="24"/>
        </w:rPr>
        <w:t>BBB)</w:t>
      </w:r>
      <w:r>
        <w:rPr>
          <w:rFonts w:hint="eastAsia" w:ascii="宋体" w:cs="宋体"/>
          <w:sz w:val="24"/>
        </w:rPr>
        <w:t>的资产支持证券。基金持有资产支持证券期间，如果其信用等级下降、不再符合投资标准，应在评级报告发布之日起</w:t>
      </w:r>
      <w:r>
        <w:rPr>
          <w:rFonts w:ascii="宋体" w:cs="宋体"/>
          <w:sz w:val="24"/>
        </w:rPr>
        <w:t>3</w:t>
      </w:r>
      <w:r>
        <w:rPr>
          <w:rFonts w:hint="eastAsia" w:ascii="宋体" w:cs="宋体"/>
          <w:sz w:val="24"/>
        </w:rPr>
        <w:t>个月内予以全部卖出；</w:t>
      </w:r>
    </w:p>
    <w:p>
      <w:pPr>
        <w:snapToGrid w:val="0"/>
        <w:spacing w:line="360" w:lineRule="auto"/>
        <w:ind w:firstLine="422"/>
        <w:rPr>
          <w:rFonts w:ascii="宋体" w:cs="宋体"/>
          <w:sz w:val="24"/>
        </w:rPr>
      </w:pPr>
      <w:r>
        <w:rPr>
          <w:rFonts w:hint="eastAsia" w:ascii="宋体" w:cs="宋体"/>
          <w:sz w:val="24"/>
        </w:rPr>
        <w:t>（</w:t>
      </w:r>
      <w:r>
        <w:rPr>
          <w:rFonts w:ascii="宋体" w:cs="宋体"/>
          <w:sz w:val="24"/>
        </w:rPr>
        <w:t>11</w:t>
      </w:r>
      <w:r>
        <w:rPr>
          <w:rFonts w:hint="eastAsia" w:ascii="宋体" w:cs="宋体"/>
          <w:sz w:val="24"/>
        </w:rPr>
        <w:t>）基金财产参与股票发行申购，本基金所申报的金额不超过本基金的总资产，本基金所申报的股票数量不超过拟发行股票公司本次发行股票的总量；</w:t>
      </w:r>
    </w:p>
    <w:p>
      <w:pPr>
        <w:snapToGrid w:val="0"/>
        <w:spacing w:line="360" w:lineRule="auto"/>
        <w:ind w:firstLine="422"/>
        <w:rPr>
          <w:rFonts w:ascii="宋体" w:cs="宋体"/>
          <w:sz w:val="24"/>
        </w:rPr>
      </w:pPr>
      <w:r>
        <w:rPr>
          <w:rFonts w:hint="eastAsia" w:ascii="宋体" w:cs="宋体"/>
          <w:sz w:val="24"/>
        </w:rPr>
        <w:t>（</w:t>
      </w:r>
      <w:r>
        <w:rPr>
          <w:rFonts w:ascii="宋体" w:cs="宋体"/>
          <w:sz w:val="24"/>
        </w:rPr>
        <w:t>12</w:t>
      </w:r>
      <w:r>
        <w:rPr>
          <w:rFonts w:hint="eastAsia" w:ascii="宋体" w:cs="宋体"/>
          <w:sz w:val="24"/>
        </w:rPr>
        <w:t>）本基金参与融资的，在任何交易日日终，本基金融资买入股票与其他有价证券市值之和，不得超过基金资产净值的95%；</w:t>
      </w:r>
    </w:p>
    <w:p>
      <w:pPr>
        <w:snapToGrid w:val="0"/>
        <w:spacing w:line="360" w:lineRule="auto"/>
        <w:ind w:firstLine="422"/>
        <w:rPr>
          <w:rFonts w:ascii="宋体" w:cs="宋体"/>
          <w:sz w:val="24"/>
        </w:rPr>
      </w:pPr>
      <w:r>
        <w:rPr>
          <w:rFonts w:hint="eastAsia" w:ascii="宋体" w:cs="宋体"/>
          <w:sz w:val="24"/>
        </w:rPr>
        <w:t>（</w:t>
      </w:r>
      <w:r>
        <w:rPr>
          <w:rFonts w:ascii="宋体" w:cs="宋体"/>
          <w:sz w:val="24"/>
        </w:rPr>
        <w:t>13</w:t>
      </w:r>
      <w:r>
        <w:rPr>
          <w:rFonts w:hint="eastAsia" w:ascii="宋体" w:cs="宋体"/>
          <w:sz w:val="24"/>
        </w:rPr>
        <w:t>）本基金投资于股指期货和国债期货，还应遵循如下投资组合限制：</w:t>
      </w:r>
    </w:p>
    <w:p>
      <w:pPr>
        <w:snapToGrid w:val="0"/>
        <w:spacing w:line="360" w:lineRule="auto"/>
        <w:ind w:firstLine="422"/>
        <w:rPr>
          <w:rFonts w:ascii="宋体" w:cs="宋体"/>
          <w:sz w:val="24"/>
        </w:rPr>
      </w:pPr>
      <w:r>
        <w:rPr>
          <w:rFonts w:ascii="宋体" w:cs="宋体"/>
          <w:sz w:val="24"/>
        </w:rPr>
        <w:t>1</w:t>
      </w:r>
      <w:r>
        <w:rPr>
          <w:rFonts w:hint="eastAsia" w:ascii="宋体" w:cs="宋体"/>
          <w:sz w:val="24"/>
        </w:rPr>
        <w:t>）在任何交易日日终，本基金持有的买入股指期货合约价值不超过基金资产净值的</w:t>
      </w:r>
      <w:r>
        <w:rPr>
          <w:rFonts w:ascii="宋体" w:cs="宋体"/>
          <w:sz w:val="24"/>
        </w:rPr>
        <w:t>10%</w:t>
      </w:r>
      <w:r>
        <w:rPr>
          <w:rFonts w:hint="eastAsia" w:ascii="宋体" w:cs="宋体"/>
          <w:sz w:val="24"/>
        </w:rPr>
        <w:t>；在任何交易日日终，持有的买入国债期货合约价值，不得超过基金资产净值15%；</w:t>
      </w:r>
    </w:p>
    <w:p>
      <w:pPr>
        <w:snapToGrid w:val="0"/>
        <w:spacing w:line="360" w:lineRule="auto"/>
        <w:ind w:firstLine="422"/>
        <w:rPr>
          <w:rFonts w:ascii="宋体" w:cs="宋体"/>
          <w:sz w:val="24"/>
        </w:rPr>
      </w:pPr>
      <w:r>
        <w:rPr>
          <w:rFonts w:ascii="宋体" w:cs="宋体"/>
          <w:sz w:val="24"/>
        </w:rPr>
        <w:t>2</w:t>
      </w:r>
      <w:r>
        <w:rPr>
          <w:rFonts w:hint="eastAsia" w:ascii="宋体" w:cs="宋体"/>
          <w:sz w:val="24"/>
        </w:rPr>
        <w:t>）在任何交易日日终，持有的卖出股指期货合约价值不超过基金持有的股票总市值的</w:t>
      </w:r>
      <w:r>
        <w:rPr>
          <w:rFonts w:ascii="宋体" w:cs="宋体"/>
          <w:sz w:val="24"/>
        </w:rPr>
        <w:t>20%</w:t>
      </w:r>
      <w:r>
        <w:rPr>
          <w:rFonts w:hint="eastAsia" w:ascii="宋体" w:cs="宋体"/>
          <w:sz w:val="24"/>
        </w:rPr>
        <w:t>；在任何交易日日终，持有的卖出国债期货合约价值不得超过基金持有的债券总市值的30%；</w:t>
      </w:r>
    </w:p>
    <w:p>
      <w:pPr>
        <w:snapToGrid w:val="0"/>
        <w:spacing w:line="360" w:lineRule="auto"/>
        <w:ind w:firstLine="422"/>
        <w:rPr>
          <w:rStyle w:val="31"/>
        </w:rPr>
      </w:pPr>
      <w:r>
        <w:rPr>
          <w:rFonts w:ascii="宋体" w:cs="宋体"/>
          <w:sz w:val="24"/>
        </w:rPr>
        <w:t>3</w:t>
      </w:r>
      <w:r>
        <w:rPr>
          <w:rFonts w:hint="eastAsia" w:ascii="宋体" w:cs="宋体"/>
          <w:sz w:val="24"/>
        </w:rPr>
        <w:t xml:space="preserve">）本基金所持有的股票市值和买入、卖出股指期货合约价值，合计（轧差计算）应当符合基金合同关于股票投资比例的有关约定； </w:t>
      </w:r>
    </w:p>
    <w:p>
      <w:pPr>
        <w:snapToGrid w:val="0"/>
        <w:spacing w:line="360" w:lineRule="auto"/>
        <w:ind w:firstLine="422"/>
        <w:rPr>
          <w:rFonts w:ascii="宋体" w:cs="宋体"/>
          <w:sz w:val="24"/>
        </w:rPr>
      </w:pPr>
      <w:r>
        <w:rPr>
          <w:rFonts w:ascii="宋体" w:cs="宋体"/>
          <w:sz w:val="24"/>
        </w:rPr>
        <w:t>4</w:t>
      </w:r>
      <w:r>
        <w:rPr>
          <w:rFonts w:hint="eastAsia" w:ascii="宋体" w:cs="宋体"/>
          <w:sz w:val="24"/>
        </w:rPr>
        <w:t>）本基金在任何交易日日终，持有的买入股指期货和国债期货合约价值与有价证券市值之和，不得超过基金资产净值的</w:t>
      </w:r>
      <w:r>
        <w:rPr>
          <w:rFonts w:ascii="宋体" w:cs="宋体"/>
          <w:sz w:val="24"/>
        </w:rPr>
        <w:t>100%</w:t>
      </w:r>
      <w:r>
        <w:rPr>
          <w:rFonts w:hint="eastAsia" w:ascii="宋体" w:cs="宋体"/>
          <w:sz w:val="24"/>
        </w:rPr>
        <w:t>。其中，有价证券指股票、债券（不含到期日在一年以内的政府债券）、资产支持证券、买入返售金融资产（不含质押式回购）等；</w:t>
      </w:r>
    </w:p>
    <w:p>
      <w:pPr>
        <w:snapToGrid w:val="0"/>
        <w:spacing w:line="360" w:lineRule="auto"/>
        <w:ind w:firstLine="422"/>
        <w:rPr>
          <w:rFonts w:ascii="宋体" w:cs="宋体"/>
          <w:sz w:val="24"/>
        </w:rPr>
      </w:pPr>
      <w:r>
        <w:rPr>
          <w:rFonts w:ascii="宋体" w:cs="宋体"/>
          <w:sz w:val="24"/>
        </w:rPr>
        <w:t>5</w:t>
      </w:r>
      <w:r>
        <w:rPr>
          <w:rFonts w:hint="eastAsia" w:ascii="宋体" w:cs="宋体"/>
          <w:sz w:val="24"/>
        </w:rPr>
        <w:t>）本基金在任何交易日内交易（不包括平仓）的股指期货合约的成交金额不得超过上一交易日基金资产净值的</w:t>
      </w:r>
      <w:r>
        <w:rPr>
          <w:rFonts w:ascii="宋体" w:cs="宋体"/>
          <w:sz w:val="24"/>
        </w:rPr>
        <w:t>20%</w:t>
      </w:r>
      <w:r>
        <w:rPr>
          <w:rFonts w:hint="eastAsia" w:ascii="宋体" w:cs="宋体"/>
          <w:sz w:val="24"/>
        </w:rPr>
        <w:t>；在任何交易日内交易（不包括平仓）的国债期货合约的成交金额不得超过上一交易日基金资产净值的30%；</w:t>
      </w:r>
    </w:p>
    <w:p>
      <w:pPr>
        <w:snapToGrid w:val="0"/>
        <w:spacing w:line="360" w:lineRule="auto"/>
        <w:ind w:firstLine="422"/>
        <w:rPr>
          <w:rFonts w:ascii="宋体" w:cs="宋体"/>
          <w:sz w:val="24"/>
        </w:rPr>
      </w:pPr>
      <w:r>
        <w:rPr>
          <w:rFonts w:hint="eastAsia" w:ascii="宋体" w:cs="宋体"/>
          <w:sz w:val="24"/>
        </w:rPr>
        <w:t>（</w:t>
      </w:r>
      <w:r>
        <w:rPr>
          <w:rFonts w:ascii="宋体" w:cs="宋体"/>
          <w:sz w:val="24"/>
        </w:rPr>
        <w:t>14</w:t>
      </w:r>
      <w:r>
        <w:rPr>
          <w:rFonts w:hint="eastAsia" w:ascii="宋体" w:cs="宋体"/>
          <w:sz w:val="24"/>
        </w:rPr>
        <w:t>）本基金投资于股票期权，还应遵循如下投资组合限制：</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1）因未平仓的期权合约支付和收取的权利金总额不得超过基金资产净值的10%；</w:t>
      </w:r>
    </w:p>
    <w:p>
      <w:pPr>
        <w:snapToGrid w:val="0"/>
        <w:spacing w:line="360" w:lineRule="auto"/>
        <w:ind w:firstLine="480"/>
        <w:rPr>
          <w:color w:val="0D0D0D"/>
          <w:sz w:val="24"/>
        </w:rPr>
      </w:pPr>
      <w:r>
        <w:rPr>
          <w:rFonts w:hint="eastAsia"/>
          <w:color w:val="0D0D0D" w:themeColor="text1" w:themeTint="F2"/>
          <w:sz w:val="24"/>
          <w:lang w:val="en-US" w:eastAsia="zh-CN"/>
          <w14:textFill>
            <w14:solidFill>
              <w14:schemeClr w14:val="tx1">
                <w14:lumMod w14:val="95000"/>
                <w14:lumOff w14:val="5000"/>
              </w14:schemeClr>
            </w14:solidFill>
          </w14:textFill>
        </w:rPr>
        <w:t>2</w:t>
      </w:r>
      <w:r>
        <w:rPr>
          <w:rFonts w:hint="eastAsia"/>
          <w:color w:val="0D0D0D" w:themeColor="text1" w:themeTint="F2"/>
          <w:sz w:val="24"/>
          <w14:textFill>
            <w14:solidFill>
              <w14:schemeClr w14:val="tx1">
                <w14:lumMod w14:val="95000"/>
                <w14:lumOff w14:val="5000"/>
              </w14:schemeClr>
            </w14:solidFill>
          </w14:textFill>
        </w:rPr>
        <w:t>）未平仓的期权合约面值不得超过基金资产净值的20%。其中，合约面值按照行权价乘以合约乘数计算；</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（1</w:t>
      </w:r>
      <w:r>
        <w:rPr>
          <w:color w:val="0D0D0D" w:themeColor="text1" w:themeTint="F2"/>
          <w:sz w:val="24"/>
          <w14:textFill>
            <w14:solidFill>
              <w14:schemeClr w14:val="tx1">
                <w14:lumMod w14:val="95000"/>
                <w14:lumOff w14:val="5000"/>
              </w14:schemeClr>
            </w14:solidFill>
          </w14:textFill>
        </w:rPr>
        <w:t>5</w:t>
      </w:r>
      <w:r>
        <w:rPr>
          <w:rFonts w:hint="eastAsia"/>
          <w:color w:val="0D0D0D" w:themeColor="text1" w:themeTint="F2"/>
          <w:sz w:val="24"/>
          <w14:textFill>
            <w14:solidFill>
              <w14:schemeClr w14:val="tx1">
                <w14:lumMod w14:val="95000"/>
                <w14:lumOff w14:val="5000"/>
              </w14:schemeClr>
            </w14:solidFill>
          </w14:textFill>
        </w:rPr>
        <w:t>）本基金参与转融通证券出借业务，需遵守下列投资限制：</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1）出借证券资产不得超过基金资产净值的30%，出借期限在10 个交易日以上的出借证券应纳入《流动性风险管理规定》所述流动性受限证券的范围；</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2）参与出借业务的单只证券不得超过本基金持有该证券总量的50%；</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3）最近6个月内日均基金资产净值不得低于2亿元；</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4）证券出借的平均剩余期限不得超过30天，平均剩余期限按照市值加权平均计算；</w:t>
      </w:r>
    </w:p>
    <w:p>
      <w:pPr>
        <w:snapToGrid w:val="0"/>
        <w:spacing w:line="360" w:lineRule="auto"/>
        <w:ind w:firstLine="480"/>
        <w:rPr>
          <w:color w:val="0D0D0D"/>
          <w:sz w:val="24"/>
        </w:rPr>
      </w:pPr>
      <w:r>
        <w:rPr>
          <w:rFonts w:hint="eastAsia"/>
          <w:color w:val="0D0D0D" w:themeColor="text1" w:themeTint="F2"/>
          <w:sz w:val="24"/>
          <w14:textFill>
            <w14:solidFill>
              <w14:schemeClr w14:val="tx1">
                <w14:lumMod w14:val="95000"/>
                <w14:lumOff w14:val="5000"/>
              </w14:schemeClr>
            </w14:solidFill>
          </w14:textFill>
        </w:rPr>
        <w:t>因证券市场波动、上市公司合并、基金规模变动等基金管理人之外的因素致使基金投资不符合上述规定的，基金管理人不得新增出借业务；</w:t>
      </w:r>
    </w:p>
    <w:p>
      <w:pPr>
        <w:snapToGrid w:val="0"/>
        <w:spacing w:line="360" w:lineRule="auto"/>
        <w:ind w:firstLine="422"/>
        <w:rPr>
          <w:rFonts w:ascii="宋体" w:cs="宋体"/>
          <w:sz w:val="24"/>
        </w:rPr>
      </w:pPr>
      <w:r>
        <w:rPr>
          <w:rFonts w:hint="eastAsia" w:ascii="宋体" w:cs="宋体"/>
          <w:sz w:val="24"/>
        </w:rPr>
        <w:t>（1</w:t>
      </w:r>
      <w:r>
        <w:rPr>
          <w:rFonts w:ascii="宋体" w:cs="宋体"/>
          <w:sz w:val="24"/>
        </w:rPr>
        <w:t>6</w:t>
      </w:r>
      <w:r>
        <w:rPr>
          <w:rFonts w:hint="eastAsia" w:ascii="宋体" w:cs="宋体"/>
          <w:sz w:val="24"/>
        </w:rPr>
        <w:t>）本基金主动投资于流动性受限资产的市值合计不得超过本基金资产净值的15%；</w:t>
      </w:r>
    </w:p>
    <w:p>
      <w:pPr>
        <w:snapToGrid w:val="0"/>
        <w:spacing w:line="360" w:lineRule="auto"/>
        <w:ind w:firstLine="422"/>
        <w:rPr>
          <w:rFonts w:ascii="宋体" w:cs="宋体"/>
          <w:sz w:val="24"/>
        </w:rPr>
      </w:pPr>
      <w:r>
        <w:rPr>
          <w:rFonts w:hint="eastAsia" w:ascii="宋体" w:cs="宋体"/>
          <w:sz w:val="24"/>
        </w:rPr>
        <w:t>因证券市场波动、上市公司股票停牌、基金规模变动等基金管理人之外的因素致使基金不符合该比例限制的，基金管理人不得主动新增流动性受限资产的投资；</w:t>
      </w:r>
    </w:p>
    <w:p>
      <w:pPr>
        <w:snapToGrid w:val="0"/>
        <w:spacing w:line="360" w:lineRule="auto"/>
        <w:ind w:firstLine="422"/>
        <w:rPr>
          <w:rFonts w:ascii="宋体" w:cs="宋体"/>
          <w:sz w:val="24"/>
        </w:rPr>
      </w:pPr>
      <w:r>
        <w:rPr>
          <w:rFonts w:hint="eastAsia"/>
          <w:sz w:val="24"/>
        </w:rPr>
        <w:t>（1</w:t>
      </w:r>
      <w:r>
        <w:rPr>
          <w:rFonts w:hint="eastAsia"/>
          <w:sz w:val="24"/>
          <w:lang w:val="en-US" w:eastAsia="zh-CN"/>
        </w:rPr>
        <w:t>7</w:t>
      </w:r>
      <w:r>
        <w:rPr>
          <w:rFonts w:hint="eastAsia"/>
          <w:sz w:val="24"/>
        </w:rPr>
        <w:t>）本基金投资存托凭证的比例限制依照境内上市交易的股票执行</w:t>
      </w:r>
      <w:r>
        <w:rPr>
          <w:rFonts w:hint="eastAsia" w:ascii="宋体" w:hAnsi="宋体"/>
          <w:bCs/>
          <w:sz w:val="24"/>
        </w:rPr>
        <w:t>，与境内上市交易的股票合并计算</w:t>
      </w:r>
      <w:r>
        <w:rPr>
          <w:rFonts w:hint="eastAsia"/>
          <w:sz w:val="24"/>
        </w:rPr>
        <w:t>；</w:t>
      </w:r>
    </w:p>
    <w:p>
      <w:pPr>
        <w:snapToGrid w:val="0"/>
        <w:spacing w:line="360" w:lineRule="auto"/>
        <w:ind w:firstLine="422"/>
        <w:rPr>
          <w:rFonts w:ascii="宋体" w:cs="宋体"/>
          <w:sz w:val="24"/>
        </w:rPr>
      </w:pPr>
      <w:r>
        <w:rPr>
          <w:rFonts w:hint="eastAsia" w:ascii="宋体" w:cs="宋体"/>
          <w:sz w:val="24"/>
        </w:rPr>
        <w:t>（</w:t>
      </w:r>
      <w:r>
        <w:rPr>
          <w:rFonts w:ascii="宋体" w:cs="宋体"/>
          <w:sz w:val="24"/>
        </w:rPr>
        <w:t>1</w:t>
      </w:r>
      <w:r>
        <w:rPr>
          <w:rFonts w:hint="eastAsia" w:ascii="宋体" w:cs="宋体"/>
          <w:sz w:val="24"/>
          <w:lang w:val="en-US" w:eastAsia="zh-CN"/>
        </w:rPr>
        <w:t>8</w:t>
      </w:r>
      <w:r>
        <w:rPr>
          <w:rFonts w:hint="eastAsia" w:ascii="宋体" w:cs="宋体"/>
          <w:sz w:val="24"/>
        </w:rPr>
        <w:t>）相关法律法规以及监管部门规定的和</w:t>
      </w:r>
      <w:r>
        <w:rPr>
          <w:rFonts w:ascii="宋体" w:cs="宋体"/>
          <w:sz w:val="24"/>
        </w:rPr>
        <w:t>基金合同约定的</w:t>
      </w:r>
      <w:r>
        <w:rPr>
          <w:rFonts w:hint="eastAsia" w:ascii="宋体" w:cs="宋体"/>
          <w:sz w:val="24"/>
        </w:rPr>
        <w:t>其它投资比例限制。</w:t>
      </w:r>
    </w:p>
    <w:p>
      <w:pPr>
        <w:snapToGrid w:val="0"/>
        <w:spacing w:line="360" w:lineRule="auto"/>
        <w:ind w:firstLine="422"/>
        <w:rPr>
          <w:rFonts w:ascii="宋体" w:cs="宋体"/>
          <w:sz w:val="24"/>
        </w:rPr>
      </w:pPr>
      <w:r>
        <w:rPr>
          <w:rFonts w:hint="eastAsia" w:ascii="宋体" w:cs="宋体"/>
          <w:sz w:val="24"/>
        </w:rPr>
        <w:t>除上述第（2）、（1</w:t>
      </w:r>
      <w:r>
        <w:rPr>
          <w:rFonts w:ascii="宋体" w:cs="宋体"/>
          <w:sz w:val="24"/>
        </w:rPr>
        <w:t>0</w:t>
      </w:r>
      <w:r>
        <w:rPr>
          <w:rFonts w:hint="eastAsia" w:ascii="宋体" w:cs="宋体"/>
          <w:sz w:val="24"/>
        </w:rPr>
        <w:t>）、（1</w:t>
      </w:r>
      <w:r>
        <w:rPr>
          <w:rFonts w:ascii="宋体" w:cs="宋体"/>
          <w:sz w:val="24"/>
        </w:rPr>
        <w:t>5</w:t>
      </w:r>
      <w:r>
        <w:rPr>
          <w:rFonts w:hint="eastAsia" w:ascii="宋体" w:cs="宋体"/>
          <w:sz w:val="24"/>
        </w:rPr>
        <w:t>）、（1</w:t>
      </w:r>
      <w:r>
        <w:rPr>
          <w:rFonts w:ascii="宋体" w:cs="宋体"/>
          <w:sz w:val="24"/>
        </w:rPr>
        <w:t>6</w:t>
      </w:r>
      <w:r>
        <w:rPr>
          <w:rFonts w:hint="eastAsia" w:ascii="宋体" w:cs="宋体"/>
          <w:sz w:val="24"/>
        </w:rPr>
        <w:t>）项外，</w:t>
      </w:r>
      <w:r>
        <w:rPr>
          <w:rFonts w:ascii="宋体" w:cs="宋体"/>
          <w:sz w:val="24"/>
        </w:rPr>
        <w:t>因证券</w:t>
      </w:r>
      <w:r>
        <w:rPr>
          <w:rFonts w:hint="eastAsia" w:ascii="宋体" w:cs="宋体"/>
          <w:sz w:val="24"/>
        </w:rPr>
        <w:t>、期货</w:t>
      </w:r>
      <w:r>
        <w:rPr>
          <w:rFonts w:ascii="宋体" w:cs="宋体"/>
          <w:sz w:val="24"/>
        </w:rPr>
        <w:t>市场波动、</w:t>
      </w:r>
      <w:r>
        <w:rPr>
          <w:rFonts w:hint="eastAsia" w:ascii="宋体" w:cs="宋体"/>
          <w:sz w:val="24"/>
        </w:rPr>
        <w:t>证券发行人</w:t>
      </w:r>
      <w:r>
        <w:rPr>
          <w:rFonts w:ascii="宋体" w:cs="宋体"/>
          <w:sz w:val="24"/>
        </w:rPr>
        <w:t>合并、基金规模变动</w:t>
      </w:r>
      <w:r>
        <w:rPr>
          <w:rFonts w:hint="eastAsia" w:ascii="宋体" w:cs="宋体"/>
          <w:sz w:val="24"/>
        </w:rPr>
        <w:t>、标的指数成份股调整、标的指数成份股流动性限制</w:t>
      </w:r>
      <w:r>
        <w:rPr>
          <w:rFonts w:ascii="宋体" w:cs="宋体"/>
          <w:sz w:val="24"/>
        </w:rPr>
        <w:t>等基金管理人之外的因素致使基金投资比例不符合上述规定投资比例的，基金管理人应当在10个交易日内进行调整</w:t>
      </w:r>
      <w:r>
        <w:rPr>
          <w:rFonts w:hint="eastAsia" w:ascii="宋体" w:cs="宋体"/>
          <w:sz w:val="24"/>
        </w:rPr>
        <w:t>，但中国证监会规定的特殊情形除外</w:t>
      </w:r>
      <w:r>
        <w:rPr>
          <w:rFonts w:ascii="宋体" w:cs="宋体"/>
          <w:sz w:val="24"/>
        </w:rPr>
        <w:t>。</w:t>
      </w:r>
      <w:r>
        <w:rPr>
          <w:rFonts w:hint="eastAsia" w:ascii="宋体" w:cs="宋体"/>
          <w:sz w:val="24"/>
        </w:rPr>
        <w:t>法律法规另有规定的，从其规定。</w:t>
      </w:r>
    </w:p>
    <w:p>
      <w:pPr>
        <w:snapToGrid w:val="0"/>
        <w:spacing w:line="360" w:lineRule="auto"/>
        <w:ind w:firstLine="422"/>
        <w:rPr>
          <w:rFonts w:ascii="宋体" w:cs="宋体"/>
          <w:sz w:val="24"/>
        </w:rPr>
      </w:pPr>
      <w:r>
        <w:rPr>
          <w:rFonts w:ascii="宋体" w:cs="宋体"/>
          <w:sz w:val="24"/>
        </w:rPr>
        <w:t>基金管理人应当自基金合同生效之日起</w:t>
      </w:r>
      <w:r>
        <w:rPr>
          <w:rFonts w:hint="eastAsia" w:ascii="宋体" w:cs="宋体"/>
          <w:sz w:val="24"/>
        </w:rPr>
        <w:t>6</w:t>
      </w:r>
      <w:r>
        <w:rPr>
          <w:rFonts w:ascii="宋体" w:cs="宋体"/>
          <w:sz w:val="24"/>
        </w:rPr>
        <w:t>个月内使基金的投资组合比例符合基金合同的有关约定。</w:t>
      </w:r>
      <w:r>
        <w:rPr>
          <w:rFonts w:hint="eastAsia" w:ascii="宋体" w:cs="宋体"/>
          <w:sz w:val="24"/>
        </w:rPr>
        <w:t>在上述期间内，本基金的投资范围、投资策略应当符合基金合同的约定。</w:t>
      </w:r>
      <w:r>
        <w:rPr>
          <w:rFonts w:ascii="宋体" w:cs="宋体"/>
          <w:sz w:val="24"/>
        </w:rPr>
        <w:t>基金托管人对基金的投资的监督与检查自基金合同生效之日起开始。</w:t>
      </w:r>
    </w:p>
    <w:p>
      <w:pPr>
        <w:snapToGrid w:val="0"/>
        <w:spacing w:line="360" w:lineRule="auto"/>
        <w:ind w:firstLine="422"/>
        <w:rPr>
          <w:rFonts w:ascii="宋体" w:cs="宋体"/>
          <w:sz w:val="24"/>
        </w:rPr>
      </w:pPr>
      <w:r>
        <w:rPr>
          <w:rFonts w:ascii="宋体" w:cs="宋体"/>
          <w:sz w:val="24"/>
        </w:rPr>
        <w:t>法律法规或监管部门取消</w:t>
      </w:r>
      <w:r>
        <w:rPr>
          <w:rFonts w:hint="eastAsia" w:ascii="宋体" w:cs="宋体"/>
          <w:sz w:val="24"/>
        </w:rPr>
        <w:t>或变更</w:t>
      </w:r>
      <w:r>
        <w:rPr>
          <w:rFonts w:ascii="宋体" w:cs="宋体"/>
          <w:sz w:val="24"/>
        </w:rPr>
        <w:t>上述限制，如适用于本基金，基金管理人</w:t>
      </w:r>
      <w:r>
        <w:rPr>
          <w:rFonts w:hint="eastAsia" w:ascii="宋体" w:cs="宋体"/>
          <w:sz w:val="24"/>
        </w:rPr>
        <w:t>在</w:t>
      </w:r>
      <w:r>
        <w:rPr>
          <w:rFonts w:ascii="宋体" w:cs="宋体"/>
          <w:sz w:val="24"/>
        </w:rPr>
        <w:t>履行适当程序后，则本基金投资不再受相关限制</w:t>
      </w:r>
      <w:r>
        <w:rPr>
          <w:rFonts w:hint="eastAsia" w:ascii="宋体" w:cs="宋体"/>
          <w:sz w:val="24"/>
        </w:rPr>
        <w:t>，或以变更后的规定为准</w:t>
      </w:r>
      <w:r>
        <w:rPr>
          <w:rFonts w:ascii="宋体" w:cs="宋体"/>
          <w:sz w:val="24"/>
        </w:rPr>
        <w:t>。</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（三）基金托管人</w:t>
      </w:r>
      <w:bookmarkStart w:id="4" w:name="OLE_LINK1"/>
      <w:r>
        <w:rPr>
          <w:rFonts w:hint="eastAsia" w:ascii="宋体" w:hAnsi="宋体" w:cs="Arial"/>
          <w:sz w:val="24"/>
        </w:rPr>
        <w:t>根据有关法律法规的规定及《基金合同》的约定，</w:t>
      </w:r>
      <w:bookmarkEnd w:id="4"/>
      <w:r>
        <w:rPr>
          <w:rFonts w:hint="eastAsia" w:ascii="宋体" w:hAnsi="宋体" w:cs="Arial"/>
          <w:sz w:val="24"/>
        </w:rPr>
        <w:t>对本托管协议第十五条第（九）款基金投资禁止行为通过事后监督方式进行监督。</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0" w:firstLineChars="200"/>
        <w:rPr>
          <w:rFonts w:ascii="宋体" w:hAnsi="宋体" w:cs="Arial"/>
          <w:bCs/>
          <w:sz w:val="24"/>
        </w:rPr>
      </w:pPr>
      <w:r>
        <w:rPr>
          <w:rFonts w:hint="eastAsia" w:ascii="宋体" w:hAnsi="宋体" w:cs="Arial"/>
          <w:bCs/>
          <w:sz w:val="24"/>
        </w:rPr>
        <w:t>法律、行政法规或监管部门取消或变更上述规定，如适用于本基金，基金管理人在履行适当程序后，则本基金投资不再受相关限制或</w:t>
      </w:r>
      <w:r>
        <w:rPr>
          <w:rFonts w:ascii="宋体" w:hAnsi="宋体" w:cs="Arial"/>
          <w:bCs/>
          <w:sz w:val="24"/>
        </w:rPr>
        <w:t>按</w:t>
      </w:r>
      <w:r>
        <w:rPr>
          <w:rFonts w:hint="eastAsia" w:ascii="宋体" w:hAnsi="宋体" w:cs="Arial"/>
          <w:bCs/>
          <w:sz w:val="24"/>
        </w:rPr>
        <w:t>变更后的规定</w:t>
      </w:r>
      <w:r>
        <w:rPr>
          <w:rFonts w:ascii="宋体" w:hAnsi="宋体" w:cs="Arial"/>
          <w:bCs/>
          <w:sz w:val="24"/>
        </w:rPr>
        <w:t>执行</w:t>
      </w:r>
      <w:r>
        <w:rPr>
          <w:rFonts w:hint="eastAsia" w:ascii="宋体" w:hAnsi="宋体" w:cs="Arial"/>
          <w:bCs/>
          <w:sz w:val="24"/>
        </w:rPr>
        <w:t>。</w:t>
      </w:r>
    </w:p>
    <w:p>
      <w:pPr>
        <w:numPr>
          <w:ilvl w:val="0"/>
          <w:numId w:val="1"/>
        </w:numPr>
        <w:adjustRightInd w:val="0"/>
        <w:snapToGrid w:val="0"/>
        <w:spacing w:line="360" w:lineRule="auto"/>
        <w:ind w:firstLine="480" w:firstLineChars="200"/>
        <w:rPr>
          <w:rFonts w:hint="eastAsia" w:ascii="宋体" w:hAnsi="宋体" w:cs="Arial"/>
          <w:sz w:val="24"/>
        </w:rPr>
      </w:pPr>
      <w:r>
        <w:rPr>
          <w:rFonts w:hint="eastAsia" w:ascii="宋体" w:hAnsi="宋体" w:cs="Arial"/>
          <w:sz w:val="24"/>
        </w:rPr>
        <w:t>基金托管人根据有关法律法规的规定及《基金合同》的约定，对基金管理人参与银行间债券市场进行监督。</w:t>
      </w:r>
    </w:p>
    <w:p>
      <w:pPr>
        <w:numPr>
          <w:ilvl w:val="0"/>
          <w:numId w:val="0"/>
        </w:numPr>
        <w:adjustRightInd w:val="0"/>
        <w:snapToGrid w:val="0"/>
        <w:spacing w:line="360" w:lineRule="auto"/>
        <w:ind w:firstLine="480" w:firstLineChars="200"/>
        <w:rPr>
          <w:rFonts w:ascii="宋体" w:hAnsi="宋体" w:cs="Arial"/>
          <w:sz w:val="24"/>
        </w:rPr>
      </w:pPr>
      <w:r>
        <w:rPr>
          <w:rFonts w:hint="eastAsia" w:ascii="宋体" w:hAnsi="宋体" w:cs="Arial"/>
          <w:sz w:val="24"/>
        </w:rPr>
        <w:t>（五）基金托管人根据有关法律法规的规定及《基金合同》的约定，对</w:t>
      </w:r>
      <w:r>
        <w:rPr>
          <w:rFonts w:hint="eastAsia"/>
          <w:sz w:val="24"/>
        </w:rPr>
        <w:t>基金</w:t>
      </w:r>
      <w:r>
        <w:rPr>
          <w:rFonts w:hint="eastAsia"/>
          <w:bCs/>
          <w:sz w:val="24"/>
          <w:szCs w:val="20"/>
        </w:rPr>
        <w:t>管理人投资流通受限证券</w:t>
      </w:r>
      <w:r>
        <w:rPr>
          <w:rFonts w:hint="eastAsia" w:ascii="宋体" w:hAnsi="宋体" w:cs="Arial"/>
          <w:sz w:val="24"/>
        </w:rPr>
        <w:t>进行监督。</w:t>
      </w:r>
    </w:p>
    <w:p>
      <w:pPr>
        <w:adjustRightInd w:val="0"/>
        <w:snapToGrid w:val="0"/>
        <w:spacing w:line="360" w:lineRule="auto"/>
        <w:ind w:firstLine="480" w:firstLineChars="200"/>
        <w:rPr>
          <w:rFonts w:ascii="宋体" w:hAnsi="宋体"/>
          <w:sz w:val="24"/>
        </w:rPr>
      </w:pPr>
      <w:r>
        <w:rPr>
          <w:rFonts w:hint="eastAsia" w:ascii="宋体" w:hAnsi="宋体"/>
          <w:sz w:val="24"/>
        </w:rPr>
        <w:t>基金管理人投资流通受限证券，应事先根据中国证监会相关规定，明确基金投资流通受限证券的比例，制订严格的投资决策流程和风险控制制度，防范流动性风险、法律风险和操作风险等各种风险。</w:t>
      </w:r>
    </w:p>
    <w:p>
      <w:pPr>
        <w:adjustRightInd w:val="0"/>
        <w:snapToGrid w:val="0"/>
        <w:spacing w:line="360" w:lineRule="auto"/>
        <w:ind w:firstLine="480" w:firstLineChars="200"/>
        <w:rPr>
          <w:rFonts w:ascii="宋体" w:hAnsi="宋体"/>
          <w:sz w:val="24"/>
        </w:rPr>
      </w:pPr>
      <w:r>
        <w:rPr>
          <w:rFonts w:hint="eastAsia" w:ascii="宋体" w:hAnsi="宋体"/>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adjustRightInd w:val="0"/>
        <w:snapToGrid w:val="0"/>
        <w:spacing w:line="360" w:lineRule="auto"/>
        <w:ind w:firstLine="480" w:firstLineChars="200"/>
        <w:rPr>
          <w:rFonts w:ascii="宋体" w:hAnsi="宋体"/>
          <w:sz w:val="24"/>
        </w:rPr>
      </w:pPr>
      <w:r>
        <w:rPr>
          <w:rFonts w:hint="eastAsia" w:ascii="宋体" w:hAnsi="宋体"/>
          <w:sz w:val="24"/>
        </w:rPr>
        <w:t>本基金投资的流通受限证券限于可由中国证券登记结算有限责任公司或中央国债登记结算有限责任公司负责登记和存管，并可在证券交易所或全国银行间债券市场交易的证券。</w:t>
      </w:r>
    </w:p>
    <w:p>
      <w:pPr>
        <w:adjustRightInd w:val="0"/>
        <w:snapToGrid w:val="0"/>
        <w:spacing w:line="360" w:lineRule="auto"/>
        <w:ind w:firstLine="480" w:firstLineChars="200"/>
        <w:rPr>
          <w:rFonts w:ascii="宋体" w:hAnsi="宋体"/>
          <w:sz w:val="24"/>
        </w:rPr>
      </w:pPr>
      <w:r>
        <w:rPr>
          <w:rFonts w:hint="eastAsia" w:ascii="宋体" w:hAnsi="宋体"/>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pPr>
        <w:adjustRightInd w:val="0"/>
        <w:snapToGrid w:val="0"/>
        <w:spacing w:line="360" w:lineRule="auto"/>
        <w:ind w:firstLine="480" w:firstLineChars="200"/>
        <w:rPr>
          <w:rFonts w:ascii="宋体" w:hAnsi="宋体"/>
          <w:sz w:val="24"/>
        </w:rPr>
      </w:pPr>
      <w:r>
        <w:rPr>
          <w:rFonts w:hint="eastAsia" w:ascii="宋体" w:hAnsi="宋体"/>
          <w:sz w:val="24"/>
        </w:rPr>
        <w:t>本基金投资流通受限证券，不得预付任何形式的保证金，若法规有新规定的按照新的规定执行。</w:t>
      </w:r>
    </w:p>
    <w:p>
      <w:pPr>
        <w:adjustRightInd w:val="0"/>
        <w:snapToGrid w:val="0"/>
        <w:spacing w:line="360" w:lineRule="auto"/>
        <w:ind w:firstLine="480" w:firstLineChars="200"/>
        <w:rPr>
          <w:rFonts w:ascii="宋体" w:hAnsi="宋体"/>
          <w:sz w:val="24"/>
        </w:rPr>
      </w:pPr>
      <w:r>
        <w:rPr>
          <w:rFonts w:hint="eastAsia" w:ascii="宋体" w:hAnsi="宋体"/>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由基金管理人承担。如因基金管理人原因导致本基金出现损失致使基金托管人承担连带赔偿责任的，基金管理人应赔偿基金托管人由此遭受的损失。</w:t>
      </w:r>
    </w:p>
    <w:p>
      <w:pPr>
        <w:adjustRightInd w:val="0"/>
        <w:snapToGrid w:val="0"/>
        <w:spacing w:line="360" w:lineRule="auto"/>
        <w:ind w:firstLine="480" w:firstLineChars="200"/>
        <w:rPr>
          <w:rFonts w:ascii="宋体" w:hAnsi="宋体"/>
          <w:sz w:val="24"/>
        </w:rPr>
      </w:pPr>
      <w:r>
        <w:rPr>
          <w:rFonts w:hint="eastAsia" w:ascii="宋体" w:hAnsi="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pPr>
        <w:adjustRightInd w:val="0"/>
        <w:snapToGrid w:val="0"/>
        <w:spacing w:line="360" w:lineRule="auto"/>
        <w:ind w:firstLine="480" w:firstLineChars="200"/>
        <w:rPr>
          <w:rFonts w:ascii="宋体" w:hAnsi="宋体"/>
          <w:sz w:val="24"/>
        </w:rPr>
      </w:pPr>
      <w:r>
        <w:rPr>
          <w:rFonts w:hint="eastAsia" w:ascii="宋体" w:hAnsi="宋体"/>
          <w:sz w:val="24"/>
        </w:rPr>
        <w:t>（1）中国证监会批准发行非公开发行股票的批准文件。</w:t>
      </w:r>
    </w:p>
    <w:p>
      <w:pPr>
        <w:adjustRightInd w:val="0"/>
        <w:snapToGrid w:val="0"/>
        <w:spacing w:line="360" w:lineRule="auto"/>
        <w:ind w:firstLine="480" w:firstLineChars="200"/>
        <w:rPr>
          <w:rFonts w:ascii="宋体" w:hAnsi="宋体"/>
          <w:sz w:val="24"/>
        </w:rPr>
      </w:pPr>
      <w:r>
        <w:rPr>
          <w:rFonts w:hint="eastAsia" w:ascii="宋体" w:hAnsi="宋体"/>
          <w:sz w:val="24"/>
        </w:rPr>
        <w:t>（2）非公开发行股票有关发行数量、发行价格、锁定期等发行资料。</w:t>
      </w:r>
    </w:p>
    <w:p>
      <w:pPr>
        <w:adjustRightInd w:val="0"/>
        <w:snapToGrid w:val="0"/>
        <w:spacing w:line="360" w:lineRule="auto"/>
        <w:ind w:firstLine="420" w:firstLineChars="200"/>
        <w:rPr>
          <w:rFonts w:ascii="宋体" w:hAnsi="宋体"/>
          <w:sz w:val="24"/>
        </w:rPr>
      </w:pPr>
      <w:r>
        <w:rPr>
          <w:rStyle w:val="31"/>
          <w:rFonts w:hint="eastAsia"/>
          <w:lang w:val="en-US" w:eastAsia="zh-CN"/>
        </w:rPr>
        <w:t xml:space="preserve"> </w:t>
      </w:r>
      <w:r>
        <w:rPr>
          <w:rFonts w:hint="eastAsia" w:ascii="宋体" w:hAnsi="宋体"/>
          <w:sz w:val="24"/>
        </w:rPr>
        <w:t>（</w:t>
      </w:r>
      <w:r>
        <w:rPr>
          <w:rFonts w:hint="eastAsia" w:ascii="宋体" w:hAnsi="宋体"/>
          <w:sz w:val="24"/>
          <w:lang w:val="en-US" w:eastAsia="zh-CN"/>
        </w:rPr>
        <w:t>3</w:t>
      </w:r>
      <w:r>
        <w:rPr>
          <w:rFonts w:hint="eastAsia" w:ascii="宋体" w:hAnsi="宋体"/>
          <w:sz w:val="24"/>
        </w:rPr>
        <w:t>）基金拟认购的数量、价格、总成本、账面价值。</w:t>
      </w:r>
    </w:p>
    <w:p>
      <w:pPr>
        <w:adjustRightInd w:val="0"/>
        <w:snapToGrid w:val="0"/>
        <w:spacing w:line="360" w:lineRule="auto"/>
        <w:ind w:firstLine="480" w:firstLineChars="200"/>
        <w:rPr>
          <w:rFonts w:ascii="宋体" w:hAnsi="宋体"/>
          <w:sz w:val="24"/>
        </w:rPr>
      </w:pPr>
      <w:r>
        <w:rPr>
          <w:rFonts w:hint="eastAsia" w:ascii="宋体" w:hAnsi="宋体"/>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pPr>
        <w:adjustRightInd w:val="0"/>
        <w:snapToGrid w:val="0"/>
        <w:spacing w:line="360" w:lineRule="auto"/>
        <w:ind w:firstLine="480" w:firstLineChars="200"/>
        <w:rPr>
          <w:rFonts w:ascii="宋体" w:hAnsi="宋体"/>
          <w:sz w:val="24"/>
        </w:rPr>
      </w:pPr>
      <w:r>
        <w:rPr>
          <w:rFonts w:hint="eastAsia" w:ascii="宋体" w:hAnsi="宋体"/>
          <w:sz w:val="24"/>
        </w:rPr>
        <w:t>本基金有关投资流通受限证券比例如违反有关限制规定，在合理期限内未能进行及时调整，基金管理人应依规定编制临时报告书，予以公告。</w:t>
      </w:r>
    </w:p>
    <w:p>
      <w:pPr>
        <w:adjustRightInd w:val="0"/>
        <w:snapToGrid w:val="0"/>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.相关法律法规对基金投资流通受限证券有新规定的，从其规定。</w:t>
      </w:r>
    </w:p>
    <w:p>
      <w:pPr>
        <w:adjustRightInd w:val="0"/>
        <w:snapToGrid w:val="0"/>
        <w:spacing w:line="360" w:lineRule="auto"/>
        <w:ind w:firstLine="480" w:firstLineChars="200"/>
        <w:rPr>
          <w:rFonts w:ascii="宋体" w:hAnsi="宋体"/>
          <w:sz w:val="24"/>
        </w:rPr>
      </w:pPr>
      <w:r>
        <w:rPr>
          <w:rFonts w:hint="eastAsia" w:ascii="宋体" w:hAnsi="宋体"/>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adjustRightInd w:val="0"/>
        <w:snapToGrid w:val="0"/>
        <w:spacing w:line="360" w:lineRule="auto"/>
        <w:ind w:firstLine="480" w:firstLineChars="200"/>
        <w:rPr>
          <w:rFonts w:ascii="宋体" w:hAnsi="宋体" w:cs="Arial"/>
          <w:sz w:val="24"/>
        </w:rPr>
      </w:pPr>
      <w:r>
        <w:rPr>
          <w:rFonts w:hint="eastAsia" w:ascii="宋体" w:hAnsi="宋体"/>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电话提醒或书面通知后应及时核对并以书面形式给基金托管人发出回函，就基金托管人的合理</w:t>
      </w:r>
      <w:r>
        <w:rPr>
          <w:rFonts w:hint="eastAsia" w:ascii="宋体" w:hAnsi="宋体" w:cs="Arial"/>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八）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（九）若基金托管人发现基金管理人依据交易程序已经生效的指令违反法律、行政法规和其他有关规定，或者违反《基金合同》约定的，应当立即通知基金管理人，由此造成的损失由基金管理人承担。</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十）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十一）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基金托管人依照相关法律法规的规定和基金合同的约定，对侧袋机制启用、特定资产处置和信息披露等方面进行监督。侧袋机制实施期间的具体规则依照相关法律法规的规定和基金合同的约定执行。</w:t>
      </w:r>
    </w:p>
    <w:p>
      <w:pPr>
        <w:spacing w:line="360" w:lineRule="auto"/>
        <w:rPr>
          <w:rFonts w:ascii="宋体" w:hAnsi="宋体"/>
          <w:sz w:val="24"/>
        </w:rPr>
        <w:sectPr>
          <w:footerReference r:id="rId9"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5" w:name="_Toc86727355"/>
      <w:bookmarkStart w:id="6" w:name="_Toc119402710"/>
      <w:bookmarkStart w:id="7" w:name="_Toc89163368"/>
      <w:bookmarkStart w:id="8" w:name="_Toc110761796"/>
      <w:bookmarkStart w:id="9" w:name="_Toc86223242"/>
      <w:bookmarkStart w:id="10" w:name="_Toc86737929"/>
      <w:bookmarkStart w:id="11" w:name="_Toc108512358"/>
      <w:bookmarkStart w:id="12" w:name="_Toc118774803"/>
      <w:bookmarkStart w:id="13" w:name="_Toc118212950"/>
      <w:bookmarkStart w:id="14" w:name="_Toc110830492"/>
      <w:bookmarkStart w:id="15" w:name="_Toc124325888"/>
      <w:bookmarkStart w:id="16" w:name="_Toc118972648"/>
      <w:bookmarkStart w:id="17" w:name="_Toc120435783"/>
      <w:bookmarkStart w:id="18" w:name="_Toc110765660"/>
      <w:bookmarkStart w:id="19" w:name="_Toc86649722"/>
      <w:bookmarkStart w:id="20" w:name="_Toc86726439"/>
      <w:bookmarkStart w:id="21" w:name="_Toc86225291"/>
      <w:r>
        <w:rPr>
          <w:rFonts w:hint="eastAsia" w:ascii="宋体" w:hAnsi="宋体" w:eastAsia="宋体"/>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adjustRightInd w:val="0"/>
        <w:snapToGrid w:val="0"/>
        <w:spacing w:line="360" w:lineRule="auto"/>
        <w:ind w:firstLine="480"/>
        <w:rPr>
          <w:rFonts w:ascii="宋体" w:hAnsi="宋体" w:cs="Arial"/>
          <w:sz w:val="24"/>
        </w:rPr>
      </w:pPr>
      <w:r>
        <w:rPr>
          <w:rFonts w:hint="eastAsia" w:ascii="宋体" w:hAnsi="宋体" w:cs="Arial"/>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pPr>
        <w:adjustRightInd w:val="0"/>
        <w:snapToGrid w:val="0"/>
        <w:spacing w:line="360" w:lineRule="auto"/>
        <w:ind w:firstLine="480"/>
        <w:rPr>
          <w:rFonts w:ascii="宋体" w:hAnsi="宋体" w:cs="Arial"/>
          <w:sz w:val="24"/>
        </w:rPr>
      </w:pPr>
      <w:r>
        <w:rPr>
          <w:rFonts w:hint="eastAsia" w:ascii="宋体" w:hAnsi="宋体" w:cs="Arial"/>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w:t>
      </w:r>
      <w:r>
        <w:rPr>
          <w:rFonts w:hint="eastAsia" w:ascii="宋体" w:hAnsi="宋体"/>
          <w:sz w:val="24"/>
        </w:rPr>
        <w:t>电话提醒或</w:t>
      </w:r>
      <w:r>
        <w:rPr>
          <w:rFonts w:hint="eastAsia" w:ascii="宋体" w:hAnsi="宋体" w:cs="Arial"/>
          <w:sz w:val="24"/>
        </w:rPr>
        <w:t>书面提示等方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adjustRightInd w:val="0"/>
        <w:snapToGrid w:val="0"/>
        <w:spacing w:line="360" w:lineRule="auto"/>
        <w:ind w:firstLine="480"/>
        <w:rPr>
          <w:rFonts w:ascii="宋体" w:hAnsi="宋体" w:cs="Arial"/>
          <w:sz w:val="24"/>
        </w:rPr>
      </w:pPr>
      <w:r>
        <w:rPr>
          <w:rFonts w:hint="eastAsia" w:ascii="宋体" w:hAnsi="宋体" w:cs="Arial"/>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pPr>
        <w:spacing w:line="360" w:lineRule="auto"/>
        <w:rPr>
          <w:rFonts w:ascii="宋体" w:hAnsi="宋体"/>
          <w:sz w:val="24"/>
        </w:rPr>
        <w:sectPr>
          <w:footerReference r:id="rId10"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22" w:name="_Toc86737930"/>
      <w:bookmarkStart w:id="23" w:name="_Toc86223243"/>
      <w:bookmarkStart w:id="24" w:name="_Toc84234388"/>
      <w:bookmarkStart w:id="25" w:name="_Toc120435784"/>
      <w:bookmarkStart w:id="26" w:name="_Toc86727356"/>
      <w:bookmarkStart w:id="27" w:name="_Toc110830493"/>
      <w:bookmarkStart w:id="28" w:name="_Toc86225292"/>
      <w:bookmarkStart w:id="29" w:name="_Toc89163369"/>
      <w:bookmarkStart w:id="30" w:name="_Toc118774804"/>
      <w:bookmarkStart w:id="31" w:name="_Toc118972649"/>
      <w:bookmarkStart w:id="32" w:name="_Toc86204789"/>
      <w:bookmarkStart w:id="33" w:name="_Toc84133786"/>
      <w:bookmarkStart w:id="34" w:name="_Toc84234435"/>
      <w:bookmarkStart w:id="35" w:name="_Toc119402711"/>
      <w:bookmarkStart w:id="36" w:name="_Toc124325889"/>
      <w:bookmarkStart w:id="37" w:name="_Toc108512359"/>
      <w:bookmarkStart w:id="38" w:name="_Toc110761797"/>
      <w:bookmarkStart w:id="39" w:name="_Toc86726440"/>
      <w:bookmarkStart w:id="40" w:name="_Toc86649723"/>
      <w:bookmarkStart w:id="41" w:name="_Toc118212951"/>
      <w:bookmarkStart w:id="42" w:name="_Toc110765661"/>
      <w:r>
        <w:rPr>
          <w:rFonts w:hint="eastAsia" w:ascii="宋体" w:hAnsi="宋体" w:eastAsia="宋体"/>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adjustRightInd w:val="0"/>
        <w:snapToGrid w:val="0"/>
        <w:spacing w:line="360" w:lineRule="auto"/>
        <w:ind w:firstLine="480"/>
        <w:rPr>
          <w:rFonts w:ascii="宋体" w:hAnsi="宋体" w:cs="Arial"/>
          <w:sz w:val="24"/>
        </w:rPr>
      </w:pPr>
      <w:r>
        <w:rPr>
          <w:rFonts w:hint="eastAsia" w:ascii="宋体" w:hAnsi="宋体" w:cs="Arial"/>
          <w:sz w:val="24"/>
        </w:rPr>
        <w:t>（一）基金财产保管的原则</w:t>
      </w:r>
    </w:p>
    <w:p>
      <w:pPr>
        <w:adjustRightInd w:val="0"/>
        <w:snapToGrid w:val="0"/>
        <w:spacing w:line="360" w:lineRule="auto"/>
        <w:ind w:firstLine="480"/>
        <w:rPr>
          <w:rFonts w:ascii="宋体" w:hAnsi="宋体" w:cs="Arial"/>
          <w:sz w:val="24"/>
        </w:rPr>
      </w:pPr>
      <w:r>
        <w:rPr>
          <w:rFonts w:hint="eastAsia" w:ascii="宋体" w:hAnsi="宋体" w:cs="Arial"/>
          <w:sz w:val="24"/>
        </w:rPr>
        <w:t>1.基金财产应独立于基金管理人、基金托管人的固有财产。</w:t>
      </w:r>
    </w:p>
    <w:p>
      <w:pPr>
        <w:adjustRightInd w:val="0"/>
        <w:snapToGrid w:val="0"/>
        <w:spacing w:line="360" w:lineRule="auto"/>
        <w:ind w:firstLine="480"/>
        <w:rPr>
          <w:rFonts w:ascii="宋体" w:hAnsi="宋体" w:cs="Arial"/>
          <w:sz w:val="24"/>
        </w:rPr>
      </w:pPr>
      <w:r>
        <w:rPr>
          <w:rFonts w:hint="eastAsia" w:ascii="宋体" w:hAnsi="宋体" w:cs="Arial"/>
          <w:sz w:val="24"/>
        </w:rPr>
        <w:t>2.基金托管人应安全保管基金财产。</w:t>
      </w:r>
    </w:p>
    <w:p>
      <w:pPr>
        <w:adjustRightInd w:val="0"/>
        <w:snapToGrid w:val="0"/>
        <w:spacing w:line="360" w:lineRule="auto"/>
        <w:ind w:firstLine="480"/>
        <w:rPr>
          <w:rFonts w:ascii="宋体" w:hAnsi="宋体" w:cs="Arial"/>
          <w:sz w:val="24"/>
        </w:rPr>
      </w:pPr>
      <w:r>
        <w:rPr>
          <w:rFonts w:hint="eastAsia" w:ascii="宋体" w:hAnsi="宋体" w:cs="Arial"/>
          <w:sz w:val="24"/>
        </w:rPr>
        <w:t>3.基金托管人按照规定开设基金财产的资金账户和证券账户</w:t>
      </w:r>
      <w:r>
        <w:rPr>
          <w:rFonts w:hint="eastAsia"/>
          <w:bCs/>
          <w:sz w:val="24"/>
        </w:rPr>
        <w:t>等投资所需账户。</w:t>
      </w:r>
    </w:p>
    <w:p>
      <w:pPr>
        <w:adjustRightInd w:val="0"/>
        <w:snapToGrid w:val="0"/>
        <w:spacing w:line="360" w:lineRule="auto"/>
        <w:ind w:firstLine="480"/>
        <w:rPr>
          <w:rFonts w:ascii="宋体" w:hAnsi="宋体" w:cs="Arial"/>
          <w:sz w:val="24"/>
        </w:rPr>
      </w:pPr>
      <w:r>
        <w:rPr>
          <w:rFonts w:hint="eastAsia" w:ascii="宋体" w:hAnsi="宋体" w:cs="Arial"/>
          <w:sz w:val="24"/>
        </w:rPr>
        <w:t>4.基金托管人对所托管的不同基金财产分别设置账户，独立核算，确保基金财产的完整与独立。</w:t>
      </w:r>
    </w:p>
    <w:p>
      <w:pPr>
        <w:adjustRightInd w:val="0"/>
        <w:snapToGrid w:val="0"/>
        <w:spacing w:line="360" w:lineRule="auto"/>
        <w:ind w:firstLine="480"/>
        <w:rPr>
          <w:rFonts w:ascii="宋体" w:hAnsi="宋体" w:cs="Arial"/>
          <w:sz w:val="24"/>
        </w:rPr>
      </w:pPr>
      <w:r>
        <w:rPr>
          <w:rFonts w:hint="eastAsia" w:ascii="宋体" w:hAnsi="宋体" w:cs="Arial"/>
          <w:sz w:val="24"/>
        </w:rPr>
        <w:t>5.基金托管人按照《基金合同》和本协议的约定保管基金财产，如有特殊情况双方可另行协商解决。基金</w:t>
      </w:r>
      <w:r>
        <w:rPr>
          <w:rFonts w:hint="eastAsia" w:ascii="宋体" w:hAnsi="宋体"/>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pPr>
        <w:adjustRightInd w:val="0"/>
        <w:snapToGrid w:val="0"/>
        <w:spacing w:line="360" w:lineRule="auto"/>
        <w:ind w:firstLine="480"/>
        <w:rPr>
          <w:rFonts w:ascii="宋体" w:hAnsi="宋体" w:cs="Arial"/>
          <w:sz w:val="24"/>
        </w:rPr>
      </w:pPr>
      <w:r>
        <w:rPr>
          <w:rFonts w:hint="eastAsia" w:ascii="宋体" w:hAnsi="宋体" w:cs="Arial"/>
          <w:sz w:val="24"/>
        </w:rPr>
        <w:t>6.对于因为基金投资产生的应收资产，应由基金管理人负责与有关当事人确定到账日期并通知基金托管人，到账日基金财产没有到达基金账户的，基金托管人应及时通知并</w:t>
      </w:r>
      <w:r>
        <w:rPr>
          <w:rFonts w:ascii="宋体" w:hAnsi="宋体" w:cs="Arial"/>
          <w:sz w:val="24"/>
        </w:rPr>
        <w:t>配合</w:t>
      </w:r>
      <w:r>
        <w:rPr>
          <w:rFonts w:hint="eastAsia" w:ascii="宋体" w:hAnsi="宋体" w:cs="Arial"/>
          <w:sz w:val="24"/>
        </w:rPr>
        <w:t>基金管理人采取措施进行催收。由此给基金财产造成损失的，基金管理人应负责向有关当事人追偿基金财产的损失，基金托管人对基金管理人的追偿行为应予以必要的协助与配合，但对基金财产的损失不承担任何责任。</w:t>
      </w:r>
    </w:p>
    <w:p>
      <w:pPr>
        <w:adjustRightInd w:val="0"/>
        <w:snapToGrid w:val="0"/>
        <w:spacing w:line="360" w:lineRule="auto"/>
        <w:ind w:firstLine="480"/>
        <w:rPr>
          <w:rFonts w:ascii="宋体" w:hAnsi="宋体" w:cs="Arial"/>
          <w:sz w:val="24"/>
        </w:rPr>
      </w:pPr>
      <w:r>
        <w:rPr>
          <w:rFonts w:hint="eastAsia" w:ascii="宋体" w:hAnsi="宋体" w:cs="Arial"/>
          <w:sz w:val="24"/>
        </w:rPr>
        <w:t>7.除依据法律法规和《基金合同》的规定外，基金托管人不得委托第三人托管基金财产。</w:t>
      </w:r>
    </w:p>
    <w:p>
      <w:pPr>
        <w:adjustRightInd w:val="0"/>
        <w:snapToGrid w:val="0"/>
        <w:spacing w:line="360" w:lineRule="auto"/>
        <w:ind w:firstLine="480"/>
        <w:rPr>
          <w:rFonts w:ascii="宋体" w:hAnsi="宋体" w:cs="Arial"/>
          <w:sz w:val="24"/>
        </w:rPr>
      </w:pPr>
      <w:r>
        <w:rPr>
          <w:rFonts w:hint="eastAsia" w:ascii="宋体" w:hAnsi="宋体" w:cs="Arial"/>
          <w:sz w:val="24"/>
        </w:rPr>
        <w:t>（二）基金募集期间及募集资金的验资</w:t>
      </w:r>
    </w:p>
    <w:p>
      <w:pPr>
        <w:adjustRightInd w:val="0"/>
        <w:snapToGrid w:val="0"/>
        <w:spacing w:line="360" w:lineRule="auto"/>
        <w:ind w:firstLine="480"/>
        <w:rPr>
          <w:rFonts w:ascii="宋体" w:hAnsi="宋体" w:cs="Arial"/>
          <w:sz w:val="24"/>
        </w:rPr>
      </w:pPr>
      <w:r>
        <w:rPr>
          <w:rFonts w:hint="eastAsia" w:ascii="宋体" w:hAnsi="宋体" w:cs="Arial"/>
          <w:sz w:val="24"/>
        </w:rPr>
        <w:t>1.基金募集期间募集的资金应存于基金管理人在具有托管资格的商业银行开立的“基金募集专户”。该账户由基金管理人开立并管理。</w:t>
      </w:r>
    </w:p>
    <w:p>
      <w:pPr>
        <w:adjustRightInd w:val="0"/>
        <w:snapToGrid w:val="0"/>
        <w:spacing w:line="360" w:lineRule="auto"/>
        <w:ind w:firstLine="480"/>
        <w:rPr>
          <w:rFonts w:ascii="宋体" w:hAnsi="宋体" w:cs="Arial"/>
          <w:sz w:val="24"/>
        </w:rPr>
      </w:pPr>
      <w:r>
        <w:rPr>
          <w:rFonts w:hint="eastAsia" w:ascii="宋体" w:hAnsi="宋体" w:cs="Arial"/>
          <w:sz w:val="24"/>
        </w:rPr>
        <w:t>2.基金募集期满或基金停止募集时，</w:t>
      </w:r>
      <w:r>
        <w:rPr>
          <w:rFonts w:hint="eastAsia"/>
          <w:kern w:val="0"/>
          <w:sz w:val="24"/>
        </w:rPr>
        <w:t>发起资金提供方认购金额、发起资金提供方承诺其认购的基金份额持有期限</w:t>
      </w:r>
      <w:r>
        <w:rPr>
          <w:rFonts w:hint="eastAsia" w:ascii="宋体" w:hAnsi="宋体" w:cs="Arial"/>
          <w:sz w:val="24"/>
        </w:rPr>
        <w:t>符合《基金法》、《运作办法》等有关规定后，基金管理人应将属于基金财产的全部资金划入基金托管人开立的基金银行账户，同时在规定时间内，聘请</w:t>
      </w:r>
      <w:r>
        <w:rPr>
          <w:rFonts w:hint="eastAsia" w:ascii="宋体" w:hAnsi="宋体" w:cs="Arial"/>
          <w:bCs/>
          <w:sz w:val="24"/>
        </w:rPr>
        <w:t>符合《中华人民共和国证券法》规定</w:t>
      </w:r>
      <w:r>
        <w:rPr>
          <w:rFonts w:hint="eastAsia" w:ascii="宋体" w:hAnsi="宋体" w:cs="Arial"/>
          <w:sz w:val="24"/>
        </w:rPr>
        <w:t>的会计师事务所进行验资，出具验资报告</w:t>
      </w:r>
      <w:r>
        <w:rPr>
          <w:rFonts w:hint="eastAsia"/>
          <w:kern w:val="0"/>
          <w:sz w:val="24"/>
        </w:rPr>
        <w:t>，验资报告需对发起资金提供方及其持有份额进行专门说明</w:t>
      </w:r>
      <w:r>
        <w:rPr>
          <w:rFonts w:hint="eastAsia" w:ascii="宋体" w:hAnsi="宋体" w:cs="Arial"/>
          <w:sz w:val="24"/>
        </w:rPr>
        <w:t>。出具的验资报告由参加验资的2名或2名以上中国注册会计师签字方为有效。</w:t>
      </w:r>
    </w:p>
    <w:p>
      <w:pPr>
        <w:adjustRightInd w:val="0"/>
        <w:snapToGrid w:val="0"/>
        <w:spacing w:line="360" w:lineRule="auto"/>
        <w:ind w:firstLine="480"/>
        <w:rPr>
          <w:rFonts w:ascii="宋体" w:hAnsi="宋体" w:cs="Arial"/>
          <w:sz w:val="24"/>
        </w:rPr>
      </w:pPr>
      <w:r>
        <w:rPr>
          <w:rFonts w:hint="eastAsia" w:ascii="宋体" w:hAnsi="宋体" w:cs="Arial"/>
          <w:sz w:val="24"/>
        </w:rPr>
        <w:t>3.若基金募集期限届满，未能达到《基金合同》生效的条件，由基金管理人按规定办理退款等事宜</w:t>
      </w:r>
      <w:r>
        <w:rPr>
          <w:rFonts w:hint="eastAsia"/>
          <w:kern w:val="0"/>
          <w:sz w:val="24"/>
        </w:rPr>
        <w:t>，基金托管人应予以必要的协助与配合</w:t>
      </w:r>
      <w:r>
        <w:rPr>
          <w:rFonts w:hint="eastAsia" w:ascii="宋体" w:hAnsi="宋体" w:cs="Arial"/>
          <w:sz w:val="24"/>
        </w:rPr>
        <w:t>。</w:t>
      </w:r>
    </w:p>
    <w:p>
      <w:pPr>
        <w:adjustRightInd w:val="0"/>
        <w:snapToGrid w:val="0"/>
        <w:spacing w:line="360" w:lineRule="auto"/>
        <w:ind w:firstLine="480"/>
        <w:rPr>
          <w:rFonts w:ascii="宋体" w:hAnsi="宋体" w:cs="Arial"/>
          <w:sz w:val="24"/>
        </w:rPr>
      </w:pPr>
      <w:r>
        <w:rPr>
          <w:rFonts w:hint="eastAsia" w:ascii="宋体" w:hAnsi="宋体" w:cs="Arial"/>
          <w:sz w:val="24"/>
        </w:rPr>
        <w:t>（三）基金银行账户的开立和管理</w:t>
      </w:r>
    </w:p>
    <w:p>
      <w:pPr>
        <w:adjustRightInd w:val="0"/>
        <w:snapToGrid w:val="0"/>
        <w:spacing w:line="360" w:lineRule="auto"/>
        <w:ind w:firstLine="480"/>
        <w:rPr>
          <w:rFonts w:ascii="宋体" w:hAnsi="宋体" w:cs="Arial"/>
          <w:sz w:val="24"/>
        </w:rPr>
      </w:pPr>
      <w:r>
        <w:rPr>
          <w:rFonts w:hint="eastAsia" w:ascii="宋体" w:hAnsi="宋体" w:cs="Arial"/>
          <w:sz w:val="24"/>
        </w:rPr>
        <w:t>1.基金托管人应以本基金的名义在其营业机构开立基金的银行账户，并根据基金管理人合法合规的指令办理资金收付。本基金的银行预留印鉴由基金托管人保管和使用。</w:t>
      </w:r>
    </w:p>
    <w:p>
      <w:pPr>
        <w:adjustRightInd w:val="0"/>
        <w:snapToGrid w:val="0"/>
        <w:spacing w:line="360" w:lineRule="auto"/>
        <w:ind w:firstLine="480"/>
        <w:rPr>
          <w:rFonts w:ascii="宋体" w:hAnsi="宋体" w:cs="Arial"/>
          <w:sz w:val="24"/>
        </w:rPr>
      </w:pPr>
      <w:r>
        <w:rPr>
          <w:rFonts w:hint="eastAsia" w:ascii="宋体"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80"/>
        <w:rPr>
          <w:rFonts w:ascii="宋体" w:hAnsi="宋体" w:cs="Arial"/>
          <w:sz w:val="24"/>
        </w:rPr>
      </w:pPr>
      <w:r>
        <w:rPr>
          <w:rFonts w:hint="eastAsia" w:ascii="宋体" w:hAnsi="宋体" w:cs="Arial"/>
          <w:sz w:val="24"/>
        </w:rPr>
        <w:t>3.基金银行账户的开立和管理应符合银行业监督管理机构的有关规定。</w:t>
      </w:r>
    </w:p>
    <w:p>
      <w:pPr>
        <w:adjustRightInd w:val="0"/>
        <w:snapToGrid w:val="0"/>
        <w:spacing w:line="360" w:lineRule="auto"/>
        <w:ind w:firstLine="480"/>
        <w:rPr>
          <w:rFonts w:ascii="宋体" w:hAnsi="宋体" w:cs="Arial"/>
          <w:sz w:val="24"/>
        </w:rPr>
      </w:pPr>
      <w:r>
        <w:rPr>
          <w:rFonts w:hint="eastAsia" w:ascii="宋体" w:hAnsi="宋体" w:cs="Arial"/>
          <w:sz w:val="24"/>
        </w:rPr>
        <w:t>4.在符合法律法规规定的条件下，基金托管人可以通过基金托管人专用账户办理基金资产的支付。</w:t>
      </w:r>
    </w:p>
    <w:p>
      <w:pPr>
        <w:adjustRightInd w:val="0"/>
        <w:snapToGrid w:val="0"/>
        <w:spacing w:line="360" w:lineRule="auto"/>
        <w:ind w:firstLine="480"/>
        <w:rPr>
          <w:rFonts w:ascii="宋体" w:hAnsi="宋体" w:cs="Arial"/>
          <w:sz w:val="24"/>
        </w:rPr>
      </w:pPr>
      <w:r>
        <w:rPr>
          <w:rFonts w:hint="eastAsia" w:ascii="宋体" w:hAnsi="宋体" w:cs="Arial"/>
          <w:sz w:val="24"/>
        </w:rPr>
        <w:t>5.管理人应于本基金清算后及时完成收益兑付、费用结清及其他应收应付款项资金划转，在确保后续不再发生款项进出后的10个工作日内向托管人发出销户申请。</w:t>
      </w:r>
    </w:p>
    <w:p>
      <w:pPr>
        <w:adjustRightInd w:val="0"/>
        <w:snapToGrid w:val="0"/>
        <w:spacing w:line="360" w:lineRule="auto"/>
        <w:ind w:firstLine="480"/>
        <w:rPr>
          <w:rFonts w:ascii="宋体" w:hAnsi="宋体" w:cs="Arial"/>
          <w:sz w:val="24"/>
        </w:rPr>
      </w:pPr>
      <w:r>
        <w:rPr>
          <w:rFonts w:hint="eastAsia" w:ascii="宋体" w:hAnsi="宋体" w:cs="Arial"/>
          <w:sz w:val="24"/>
        </w:rPr>
        <w:t>（四）基金证券账户和结算备付金账户的开立和管理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1.基金托管人在中国证券登记结算有限责任公司为基金开立基金托管人与基金联名的证券账户。</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3.基金证券账户的开立和证券账户卡的保管由基金托管人负责，账户资产的管理和运用由基金管理人负责。</w:t>
      </w:r>
    </w:p>
    <w:p>
      <w:pPr>
        <w:adjustRightInd w:val="0"/>
        <w:snapToGrid w:val="0"/>
        <w:spacing w:line="360" w:lineRule="auto"/>
        <w:ind w:firstLine="480" w:firstLineChars="200"/>
        <w:rPr>
          <w:rFonts w:ascii="宋体" w:hAnsi="宋体" w:cs="Arial"/>
          <w:sz w:val="24"/>
        </w:rPr>
      </w:pPr>
      <w:r>
        <w:rPr>
          <w:rFonts w:hint="eastAsia" w:ascii="宋体" w:hAnsi="宋体" w:cs="Arial"/>
          <w:sz w:val="24"/>
        </w:rPr>
        <w:t>证券账户开户费由本基金财产承担。此项开户费由基金管理人先行垫付，待本基金启始运营后，基金管理人可向基金托管人发送划款指令，将代垫开户费从本基金托管资金账户中扣还基金管理人。</w:t>
      </w:r>
    </w:p>
    <w:p>
      <w:pPr>
        <w:adjustRightInd w:val="0"/>
        <w:snapToGrid w:val="0"/>
        <w:spacing w:line="360" w:lineRule="auto"/>
        <w:ind w:firstLine="480"/>
        <w:rPr>
          <w:rFonts w:ascii="宋体" w:hAnsi="宋体" w:cs="Arial"/>
          <w:sz w:val="24"/>
        </w:rPr>
      </w:pPr>
      <w:r>
        <w:rPr>
          <w:rFonts w:hint="eastAsia" w:ascii="宋体"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pPr>
        <w:adjustRightInd w:val="0"/>
        <w:snapToGrid w:val="0"/>
        <w:spacing w:line="360" w:lineRule="auto"/>
        <w:ind w:firstLine="480"/>
        <w:rPr>
          <w:rFonts w:ascii="宋体" w:hAnsi="宋体" w:cs="Arial"/>
          <w:sz w:val="24"/>
        </w:rPr>
      </w:pPr>
      <w:r>
        <w:rPr>
          <w:rFonts w:hint="eastAsia" w:ascii="宋体" w:hAnsi="宋体" w:cs="Arial"/>
          <w:sz w:val="24"/>
        </w:rPr>
        <w:t>5.账户注销时，在遵守中国证券登记结算有限责任公司的相关规定下，由基金管理人和基金托管人协商确认主要办理人。账户注销期间，主要办理人如需另一方提供配合的，另一方应予以配合。</w:t>
      </w:r>
    </w:p>
    <w:p>
      <w:pPr>
        <w:adjustRightInd w:val="0"/>
        <w:snapToGrid w:val="0"/>
        <w:spacing w:line="360" w:lineRule="auto"/>
        <w:ind w:firstLine="480"/>
        <w:rPr>
          <w:rFonts w:ascii="宋体" w:hAnsi="宋体" w:cs="Arial"/>
          <w:sz w:val="24"/>
        </w:rPr>
      </w:pPr>
      <w:r>
        <w:rPr>
          <w:rFonts w:hint="eastAsia" w:ascii="宋体" w:hAnsi="宋体" w:cs="Arial"/>
          <w:sz w:val="24"/>
        </w:rPr>
        <w:t>6.若中国证监会或其他监管机构在本托管协议订立日之后允许基金从事其他投资品种的投资业务，涉及相关账户的开立、使用的，若无相关规定，则基金托管人比照上述关于账户开立、使用的规定执行。</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（五）债券托管账户的开设和管理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（六）其他账户的开立和管理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pPr>
        <w:adjustRightInd w:val="0"/>
        <w:snapToGrid w:val="0"/>
        <w:spacing w:line="360" w:lineRule="auto"/>
        <w:ind w:firstLine="480"/>
        <w:rPr>
          <w:rFonts w:ascii="宋体" w:hAnsi="宋体" w:cs="Arial"/>
          <w:sz w:val="24"/>
        </w:rPr>
      </w:pPr>
      <w:r>
        <w:rPr>
          <w:rFonts w:hint="eastAsia" w:ascii="宋体" w:hAnsi="宋体" w:cs="Arial"/>
          <w:sz w:val="24"/>
        </w:rPr>
        <w:t>2.法律法规等有关规定对相关账户的开立和管理另有规定的，从其规定办理。</w:t>
      </w:r>
    </w:p>
    <w:p>
      <w:pPr>
        <w:adjustRightInd w:val="0"/>
        <w:snapToGrid w:val="0"/>
        <w:spacing w:line="360" w:lineRule="auto"/>
        <w:ind w:firstLine="480"/>
        <w:rPr>
          <w:rFonts w:ascii="宋体" w:hAnsi="宋体" w:cs="Arial"/>
          <w:sz w:val="24"/>
        </w:rPr>
      </w:pPr>
      <w:r>
        <w:rPr>
          <w:rFonts w:hint="eastAsia" w:ascii="宋体" w:hAnsi="宋体" w:cs="Arial"/>
          <w:sz w:val="24"/>
        </w:rPr>
        <w:t>（七）基金财产投资的有关有价凭证等的保管</w:t>
      </w:r>
    </w:p>
    <w:p>
      <w:pPr>
        <w:adjustRightInd w:val="0"/>
        <w:snapToGrid w:val="0"/>
        <w:spacing w:line="360" w:lineRule="auto"/>
        <w:ind w:firstLine="480" w:firstLineChars="200"/>
        <w:rPr>
          <w:rFonts w:ascii="宋体" w:hAnsi="宋体" w:cs="Arial"/>
        </w:rPr>
      </w:pPr>
      <w:r>
        <w:rPr>
          <w:rFonts w:hint="eastAsia" w:ascii="宋体" w:hAnsi="宋体" w:cs="Arial"/>
          <w:sz w:val="24"/>
        </w:rPr>
        <w:t>基金财产投资的有关实物证券、银行</w:t>
      </w:r>
      <w:r>
        <w:rPr>
          <w:rFonts w:hint="eastAsia" w:ascii="宋体" w:hAnsi="宋体"/>
          <w:sz w:val="24"/>
        </w:rPr>
        <w:t>存款开户证实书</w:t>
      </w:r>
      <w:r>
        <w:rPr>
          <w:rFonts w:hint="eastAsia" w:ascii="宋体" w:hAnsi="宋体" w:cs="Arial"/>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（八）与基金财产有关的重大合同的保管</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Pr>
          <w:rFonts w:ascii="宋体" w:hAnsi="宋体" w:cs="Arial"/>
          <w:sz w:val="24"/>
        </w:rPr>
        <w:t>为《基金合同》终止后20年，法律法规或监管部门另有规定的除外</w:t>
      </w:r>
      <w:r>
        <w:rPr>
          <w:rFonts w:hint="eastAsia" w:ascii="宋体" w:hAnsi="宋体" w:cs="Arial"/>
          <w:sz w:val="24"/>
        </w:rPr>
        <w:t>。</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对于无法取得二份以上的正本的，基金管理人应向基金托管人提供合同传真件或复印件并加盖公章，未经双方协商一致，合同原件不得转移。</w:t>
      </w:r>
    </w:p>
    <w:p>
      <w:pPr>
        <w:adjustRightInd w:val="0"/>
        <w:snapToGrid w:val="0"/>
        <w:spacing w:line="360" w:lineRule="auto"/>
        <w:ind w:firstLine="600" w:firstLineChars="200"/>
        <w:rPr>
          <w:rFonts w:ascii="宋体" w:hAnsi="宋体"/>
          <w:sz w:val="30"/>
          <w:szCs w:val="30"/>
        </w:rPr>
      </w:pPr>
    </w:p>
    <w:p>
      <w:pPr>
        <w:spacing w:line="360" w:lineRule="auto"/>
        <w:rPr>
          <w:rFonts w:ascii="宋体" w:hAnsi="宋体"/>
          <w:sz w:val="24"/>
        </w:rPr>
        <w:sectPr>
          <w:footerReference r:id="rId11"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43" w:name="_Toc84234389"/>
      <w:bookmarkStart w:id="44" w:name="_Toc108512360"/>
      <w:bookmarkStart w:id="45" w:name="_Toc86223244"/>
      <w:bookmarkStart w:id="46" w:name="_Toc119402712"/>
      <w:bookmarkStart w:id="47" w:name="_Toc84133787"/>
      <w:bookmarkStart w:id="48" w:name="_Toc86649724"/>
      <w:bookmarkStart w:id="49" w:name="_Toc86727357"/>
      <w:bookmarkStart w:id="50" w:name="_Toc118972650"/>
      <w:bookmarkStart w:id="51" w:name="_Toc86726441"/>
      <w:bookmarkStart w:id="52" w:name="_Toc124325890"/>
      <w:bookmarkStart w:id="53" w:name="_Toc86225293"/>
      <w:bookmarkStart w:id="54" w:name="_Toc86737931"/>
      <w:bookmarkStart w:id="55" w:name="_Toc120435785"/>
      <w:bookmarkStart w:id="56" w:name="_Toc118774805"/>
      <w:bookmarkStart w:id="57" w:name="_Toc84234436"/>
      <w:bookmarkStart w:id="58" w:name="_Toc86204790"/>
      <w:bookmarkStart w:id="59" w:name="_Toc110761798"/>
      <w:bookmarkStart w:id="60" w:name="_Toc118212952"/>
      <w:bookmarkStart w:id="61" w:name="_Toc110830494"/>
      <w:bookmarkStart w:id="62" w:name="_Toc110765662"/>
      <w:bookmarkStart w:id="63" w:name="_Toc89163370"/>
      <w:r>
        <w:rPr>
          <w:rFonts w:hint="eastAsia" w:ascii="宋体" w:hAnsi="宋体" w:eastAsia="宋体"/>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adjustRightInd w:val="0"/>
        <w:snapToGrid w:val="0"/>
        <w:spacing w:line="360" w:lineRule="auto"/>
        <w:ind w:firstLine="480"/>
        <w:rPr>
          <w:rFonts w:ascii="宋体" w:hAnsi="宋体" w:cs="Arial"/>
          <w:sz w:val="24"/>
        </w:rPr>
      </w:pPr>
      <w:r>
        <w:rPr>
          <w:rFonts w:hint="eastAsia" w:ascii="宋体" w:hAnsi="宋体" w:cs="Arial"/>
          <w:sz w:val="24"/>
        </w:rPr>
        <w:t>基金管理人在运用基金财产时向基金托管人发送资金划拨及其他款项付款指令，基金托管人执行基金管理人的指令、办理基金名下的资金往来等有关事项。</w:t>
      </w:r>
    </w:p>
    <w:p>
      <w:pPr>
        <w:adjustRightInd w:val="0"/>
        <w:snapToGrid w:val="0"/>
        <w:spacing w:line="360" w:lineRule="auto"/>
        <w:ind w:firstLine="480"/>
        <w:rPr>
          <w:rFonts w:ascii="宋体" w:hAnsi="宋体" w:cs="Arial"/>
          <w:sz w:val="24"/>
        </w:rPr>
      </w:pPr>
      <w:r>
        <w:rPr>
          <w:rFonts w:hint="eastAsia" w:ascii="宋体" w:hAnsi="宋体" w:cs="Arial"/>
          <w:sz w:val="24"/>
        </w:rPr>
        <w:t>（一）基金管理人对发送指令人员的书面授权</w:t>
      </w:r>
    </w:p>
    <w:p>
      <w:pPr>
        <w:adjustRightInd w:val="0"/>
        <w:snapToGrid w:val="0"/>
        <w:spacing w:line="360" w:lineRule="auto"/>
        <w:ind w:firstLine="480"/>
        <w:rPr>
          <w:rFonts w:ascii="宋体" w:hAnsi="宋体" w:cs="Arial"/>
          <w:sz w:val="24"/>
        </w:rPr>
      </w:pPr>
      <w:r>
        <w:rPr>
          <w:rFonts w:hint="eastAsia" w:ascii="宋体" w:hAnsi="宋体" w:cs="Arial"/>
          <w:sz w:val="24"/>
        </w:rPr>
        <w:t>1.基金管理人应指定专人向基金托管人发送指令。</w:t>
      </w:r>
    </w:p>
    <w:p>
      <w:pPr>
        <w:adjustRightInd w:val="0"/>
        <w:snapToGrid w:val="0"/>
        <w:spacing w:line="360" w:lineRule="auto"/>
        <w:ind w:firstLine="480"/>
        <w:rPr>
          <w:rFonts w:ascii="宋体" w:hAnsi="宋体" w:cs="Arial"/>
          <w:sz w:val="24"/>
        </w:rPr>
      </w:pPr>
      <w:r>
        <w:rPr>
          <w:rFonts w:hint="eastAsia" w:ascii="宋体" w:hAnsi="宋体" w:cs="Arial"/>
          <w:sz w:val="24"/>
        </w:rPr>
        <w:t>2.基金管理人应向基金托管人提供书面授权文件，内容包括被授权人名单、预留印鉴及被授权人签字样本，授权文件应注明被授权人相应的权限。</w:t>
      </w:r>
    </w:p>
    <w:p>
      <w:pPr>
        <w:adjustRightInd w:val="0"/>
        <w:snapToGrid w:val="0"/>
        <w:spacing w:line="360" w:lineRule="auto"/>
        <w:ind w:firstLine="480"/>
        <w:rPr>
          <w:rFonts w:ascii="宋体" w:hAnsi="宋体" w:cs="Arial"/>
          <w:sz w:val="24"/>
        </w:rPr>
      </w:pPr>
      <w:r>
        <w:rPr>
          <w:rFonts w:hint="eastAsia" w:ascii="宋体" w:hAnsi="宋体" w:cs="Arial"/>
          <w:sz w:val="24"/>
        </w:rPr>
        <w:t>3.基金托管人在收到授权文件原件并经电话确认后，授权文件即生效。如果授权文件中载明具体生效时间的，该生效时间不得早于基金托管人收到授权文件并经电话确认的时点。如早于前述</w:t>
      </w:r>
      <w:r>
        <w:rPr>
          <w:rFonts w:ascii="宋体" w:hAnsi="宋体" w:cs="Arial"/>
          <w:sz w:val="24"/>
        </w:rPr>
        <w:t>时间</w:t>
      </w:r>
      <w:r>
        <w:rPr>
          <w:rFonts w:hint="eastAsia" w:ascii="宋体" w:hAnsi="宋体" w:cs="Arial"/>
          <w:sz w:val="24"/>
        </w:rPr>
        <w:t>，则以基金托管人收到授权文件并经电话确认的时点为授权文件的生效时间。</w:t>
      </w:r>
    </w:p>
    <w:p>
      <w:pPr>
        <w:adjustRightInd w:val="0"/>
        <w:snapToGrid w:val="0"/>
        <w:spacing w:line="360" w:lineRule="auto"/>
        <w:ind w:firstLine="480"/>
        <w:rPr>
          <w:rFonts w:ascii="宋体" w:hAnsi="宋体" w:cs="Arial"/>
          <w:sz w:val="24"/>
        </w:rPr>
      </w:pPr>
      <w:r>
        <w:rPr>
          <w:rFonts w:hint="eastAsia" w:ascii="宋体" w:hAnsi="宋体" w:cs="Arial"/>
          <w:sz w:val="24"/>
        </w:rPr>
        <w:t>4.基金管理人和基金托管人对授权文件负有保密义务，其内容不得向被授权人及相关操作人员以外的任何人泄露。但法律法规规定或有权机关要求的除外。</w:t>
      </w:r>
    </w:p>
    <w:p>
      <w:pPr>
        <w:adjustRightInd w:val="0"/>
        <w:snapToGrid w:val="0"/>
        <w:spacing w:line="360" w:lineRule="auto"/>
        <w:ind w:firstLine="480"/>
        <w:rPr>
          <w:rFonts w:ascii="宋体" w:hAnsi="宋体" w:cs="Arial"/>
          <w:sz w:val="24"/>
        </w:rPr>
      </w:pPr>
      <w:r>
        <w:rPr>
          <w:rFonts w:hint="eastAsia" w:ascii="宋体" w:hAnsi="宋体" w:cs="Arial"/>
          <w:sz w:val="24"/>
        </w:rPr>
        <w:t>（二）指令的内容</w:t>
      </w:r>
    </w:p>
    <w:p>
      <w:pPr>
        <w:adjustRightInd w:val="0"/>
        <w:snapToGrid w:val="0"/>
        <w:spacing w:line="360" w:lineRule="auto"/>
        <w:ind w:firstLine="480"/>
        <w:rPr>
          <w:rFonts w:ascii="宋体" w:hAnsi="宋体" w:cs="Arial"/>
          <w:sz w:val="24"/>
        </w:rPr>
      </w:pPr>
      <w:r>
        <w:rPr>
          <w:rFonts w:hint="eastAsia" w:ascii="宋体" w:hAnsi="宋体" w:cs="Arial"/>
          <w:sz w:val="24"/>
        </w:rPr>
        <w:t>1.指令包括付款指令以及其他资金划拨指令等。</w:t>
      </w:r>
    </w:p>
    <w:p>
      <w:pPr>
        <w:adjustRightInd w:val="0"/>
        <w:snapToGrid w:val="0"/>
        <w:spacing w:line="360" w:lineRule="auto"/>
        <w:ind w:firstLine="480"/>
        <w:rPr>
          <w:rFonts w:ascii="宋体" w:hAnsi="宋体" w:cs="Arial"/>
          <w:sz w:val="24"/>
        </w:rPr>
      </w:pPr>
      <w:r>
        <w:rPr>
          <w:rFonts w:hint="eastAsia" w:ascii="宋体" w:hAnsi="宋体" w:cs="Arial"/>
          <w:sz w:val="24"/>
        </w:rPr>
        <w:t>2.基金管理人发给基金托管人的指令应写明款项事由、支付时间、到账时间、金额、账户等，加盖预留印鉴并由被授权人签字。</w:t>
      </w:r>
    </w:p>
    <w:p>
      <w:pPr>
        <w:adjustRightInd w:val="0"/>
        <w:snapToGrid w:val="0"/>
        <w:spacing w:line="360" w:lineRule="auto"/>
        <w:ind w:firstLine="480"/>
        <w:rPr>
          <w:rFonts w:ascii="宋体" w:hAnsi="宋体" w:cs="Arial"/>
          <w:sz w:val="24"/>
        </w:rPr>
      </w:pPr>
      <w:r>
        <w:rPr>
          <w:rFonts w:hint="eastAsia" w:ascii="宋体" w:hAnsi="宋体" w:cs="Arial"/>
          <w:sz w:val="24"/>
        </w:rPr>
        <w:t>（三）指令的发送、确认及执行的时间和程序</w:t>
      </w:r>
    </w:p>
    <w:p>
      <w:pPr>
        <w:adjustRightInd w:val="0"/>
        <w:snapToGrid w:val="0"/>
        <w:spacing w:line="360" w:lineRule="auto"/>
        <w:ind w:firstLine="480"/>
        <w:rPr>
          <w:rFonts w:ascii="宋体" w:hAnsi="宋体" w:cs="Arial"/>
          <w:sz w:val="24"/>
        </w:rPr>
      </w:pPr>
      <w:r>
        <w:rPr>
          <w:rFonts w:hint="eastAsia" w:ascii="宋体" w:hAnsi="宋体" w:cs="Arial"/>
          <w:sz w:val="24"/>
        </w:rPr>
        <w:t>1.指令的发送</w:t>
      </w:r>
    </w:p>
    <w:p>
      <w:pPr>
        <w:adjustRightInd w:val="0"/>
        <w:snapToGrid w:val="0"/>
        <w:spacing w:line="360" w:lineRule="auto"/>
        <w:ind w:firstLine="480"/>
        <w:rPr>
          <w:rFonts w:ascii="宋体" w:hAnsi="宋体" w:cs="Arial"/>
          <w:sz w:val="24"/>
        </w:rPr>
      </w:pPr>
      <w:r>
        <w:rPr>
          <w:rFonts w:hint="eastAsia" w:ascii="宋体" w:hAnsi="宋体" w:cs="Arial"/>
          <w:sz w:val="24"/>
        </w:rPr>
        <w:t>基金管理人发送指令应采用加密传真方式或双方协商一致的其他方式。</w:t>
      </w:r>
    </w:p>
    <w:p>
      <w:pPr>
        <w:adjustRightInd w:val="0"/>
        <w:snapToGrid w:val="0"/>
        <w:spacing w:line="360" w:lineRule="auto"/>
        <w:ind w:firstLine="480"/>
        <w:rPr>
          <w:rFonts w:ascii="宋体" w:hAnsi="宋体" w:cs="Arial"/>
          <w:sz w:val="24"/>
        </w:rPr>
      </w:pPr>
      <w:r>
        <w:rPr>
          <w:rFonts w:hint="eastAsia" w:ascii="宋体" w:hAnsi="宋体" w:cs="Arial"/>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pPr>
        <w:adjustRightInd w:val="0"/>
        <w:snapToGrid w:val="0"/>
        <w:spacing w:line="360" w:lineRule="auto"/>
        <w:ind w:firstLine="480"/>
        <w:rPr>
          <w:rFonts w:ascii="宋体" w:hAnsi="宋体" w:cs="Arial"/>
          <w:sz w:val="24"/>
        </w:rPr>
      </w:pPr>
      <w:r>
        <w:rPr>
          <w:rFonts w:hint="eastAsia" w:ascii="宋体" w:hAnsi="宋体" w:cs="Arial"/>
          <w:sz w:val="24"/>
        </w:rPr>
        <w:t>指令发出后，基金管理人应及时以电话方式向基金托管人确认。</w:t>
      </w:r>
    </w:p>
    <w:p>
      <w:pPr>
        <w:adjustRightInd w:val="0"/>
        <w:snapToGrid w:val="0"/>
        <w:spacing w:line="360" w:lineRule="auto"/>
        <w:ind w:firstLine="480"/>
        <w:rPr>
          <w:rFonts w:ascii="宋体" w:hAnsi="宋体" w:cs="Arial"/>
          <w:sz w:val="24"/>
        </w:rPr>
      </w:pPr>
      <w:r>
        <w:rPr>
          <w:rFonts w:hint="eastAsia" w:ascii="宋体" w:hAnsi="宋体"/>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pPr>
        <w:adjustRightInd w:val="0"/>
        <w:snapToGrid w:val="0"/>
        <w:spacing w:line="360" w:lineRule="auto"/>
        <w:ind w:firstLine="480"/>
        <w:rPr>
          <w:rFonts w:ascii="宋体" w:hAnsi="宋体" w:cs="Arial"/>
          <w:sz w:val="24"/>
        </w:rPr>
      </w:pPr>
      <w:r>
        <w:rPr>
          <w:rFonts w:hint="eastAsia" w:ascii="宋体" w:hAnsi="宋体" w:cs="Arial"/>
          <w:sz w:val="24"/>
        </w:rPr>
        <w:t>2.指令的确认</w:t>
      </w:r>
    </w:p>
    <w:p>
      <w:pPr>
        <w:adjustRightInd w:val="0"/>
        <w:snapToGrid w:val="0"/>
        <w:spacing w:line="360" w:lineRule="auto"/>
        <w:ind w:firstLine="480"/>
        <w:rPr>
          <w:rFonts w:ascii="宋体" w:hAnsi="宋体" w:cs="Arial"/>
          <w:sz w:val="24"/>
        </w:rPr>
      </w:pPr>
      <w:r>
        <w:rPr>
          <w:rFonts w:hint="eastAsia" w:ascii="宋体" w:hAnsi="宋体" w:cs="Arial"/>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pPr>
        <w:adjustRightInd w:val="0"/>
        <w:snapToGrid w:val="0"/>
        <w:spacing w:line="360" w:lineRule="auto"/>
        <w:ind w:firstLine="480"/>
        <w:rPr>
          <w:rFonts w:ascii="宋体" w:hAnsi="宋体" w:cs="Arial"/>
          <w:sz w:val="24"/>
        </w:rPr>
      </w:pPr>
      <w:r>
        <w:rPr>
          <w:rFonts w:hint="eastAsia" w:ascii="宋体" w:hAnsi="宋体" w:cs="Arial"/>
          <w:sz w:val="24"/>
        </w:rPr>
        <w:t>3.指令的时间和执行</w:t>
      </w:r>
    </w:p>
    <w:p>
      <w:pPr>
        <w:pStyle w:val="8"/>
        <w:spacing w:line="360" w:lineRule="auto"/>
        <w:ind w:firstLineChars="0"/>
        <w:rPr>
          <w:rFonts w:ascii="宋体" w:hAnsi="宋体"/>
          <w:shd w:val="pct10" w:color="auto" w:fill="FFFFFF"/>
        </w:rPr>
      </w:pPr>
      <w:r>
        <w:rPr>
          <w:rFonts w:hint="eastAsia" w:ascii="宋体" w:hAnsi="宋体" w:eastAsia="宋体" w:cs="Arial"/>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hint="eastAsia" w:ascii="宋体" w:hAnsi="宋体" w:eastAsia="宋体" w:cs="Arial"/>
          <w:szCs w:val="24"/>
        </w:rPr>
        <w:t>基金管理人应确保基金托管人在执行指令时，基金资金账户有足够的资金余额，</w:t>
      </w:r>
      <w:r>
        <w:rPr>
          <w:rFonts w:hint="eastAsia" w:ascii="宋体" w:hAnsi="宋体" w:eastAsia="宋体" w:cs="Arial"/>
        </w:rPr>
        <w:t>在基金资金头寸充足的情况下，基金托管人对基金管理人符合法律法规、《基金合同》、本协议的指令不得拖延或拒绝执行。</w:t>
      </w:r>
    </w:p>
    <w:p>
      <w:pPr>
        <w:pStyle w:val="8"/>
        <w:spacing w:line="360" w:lineRule="auto"/>
        <w:ind w:firstLineChars="0"/>
        <w:rPr>
          <w:rFonts w:ascii="宋体" w:hAnsi="宋体" w:eastAsia="宋体" w:cs="Arial"/>
        </w:rPr>
      </w:pPr>
      <w:r>
        <w:rPr>
          <w:rFonts w:hint="eastAsia" w:ascii="宋体" w:hAnsi="宋体" w:eastAsia="宋体" w:cs="Arial"/>
        </w:rPr>
        <w:t>（四）基金管理人发送错误指令的情形和处理程序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基金管理人发送错误指令的情形包括指令违反法律法规和《基金合同》，指令发送人员无权或超越权限发送指令。</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基金托管人在履行监督职能时，发现基金管理人的指令错误时，有权视情况暂缓或拒绝执行，并及时通知基金管理人改正。如需撤销指令，基金管理人应出具书面说明，并加盖业务用章。</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（五）基金托管人依照法律法规暂缓、拒绝执行指令的情形和处理程序</w:t>
      </w:r>
    </w:p>
    <w:p>
      <w:pPr>
        <w:adjustRightInd w:val="0"/>
        <w:snapToGrid w:val="0"/>
        <w:spacing w:line="360" w:lineRule="auto"/>
        <w:ind w:firstLine="480"/>
        <w:rPr>
          <w:rFonts w:ascii="宋体" w:hAnsi="宋体" w:cs="Arial"/>
          <w:sz w:val="24"/>
        </w:rPr>
      </w:pPr>
      <w:r>
        <w:rPr>
          <w:rFonts w:hint="eastAsia" w:ascii="宋体" w:hAnsi="宋体" w:cs="Arial"/>
          <w:sz w:val="24"/>
        </w:rPr>
        <w:t>若基金托管人发现基金管理人的指令违反法律法规，或者违反《基金合同》约定的，应当拒绝执行，并立即通知基金管理人。</w:t>
      </w:r>
    </w:p>
    <w:p>
      <w:pPr>
        <w:adjustRightInd w:val="0"/>
        <w:snapToGrid w:val="0"/>
        <w:spacing w:line="360" w:lineRule="auto"/>
        <w:ind w:firstLine="480"/>
        <w:rPr>
          <w:rFonts w:ascii="宋体" w:hAnsi="宋体" w:cs="Arial"/>
          <w:sz w:val="24"/>
        </w:rPr>
      </w:pPr>
      <w:r>
        <w:rPr>
          <w:rFonts w:hint="eastAsia" w:ascii="宋体" w:hAnsi="宋体" w:cs="Arial"/>
          <w:sz w:val="24"/>
        </w:rPr>
        <w:t>（六）基金托管人未按照基金管理人指令执行的处理方法</w:t>
      </w:r>
    </w:p>
    <w:p>
      <w:pPr>
        <w:adjustRightInd w:val="0"/>
        <w:snapToGrid w:val="0"/>
        <w:spacing w:line="360" w:lineRule="auto"/>
        <w:ind w:firstLine="480"/>
        <w:rPr>
          <w:rFonts w:ascii="宋体" w:hAnsi="宋体" w:cs="Arial"/>
          <w:sz w:val="24"/>
        </w:rPr>
      </w:pPr>
      <w:r>
        <w:rPr>
          <w:rFonts w:hint="eastAsia" w:ascii="宋体" w:hAnsi="宋体" w:cs="Arial"/>
          <w:sz w:val="24"/>
        </w:rPr>
        <w:t>基金托管人由于过错，未按照基金管理人发送的指令执行并对基金财产、投资人造成的直接损失，由基金托管人</w:t>
      </w:r>
      <w:r>
        <w:rPr>
          <w:rFonts w:hint="eastAsia" w:ascii="宋体" w:hAnsi="宋体"/>
          <w:sz w:val="24"/>
        </w:rPr>
        <w:t>赔偿由此造成的直接损失。</w:t>
      </w:r>
    </w:p>
    <w:p>
      <w:pPr>
        <w:adjustRightInd w:val="0"/>
        <w:snapToGrid w:val="0"/>
        <w:spacing w:line="360" w:lineRule="auto"/>
        <w:ind w:firstLine="480"/>
        <w:rPr>
          <w:rFonts w:ascii="宋体" w:hAnsi="宋体" w:cs="Arial"/>
          <w:sz w:val="24"/>
        </w:rPr>
      </w:pPr>
      <w:r>
        <w:rPr>
          <w:rFonts w:hint="eastAsia" w:ascii="宋体" w:hAnsi="宋体" w:cs="Arial"/>
          <w:sz w:val="24"/>
        </w:rPr>
        <w:t>（七）更换被授权人的程序</w:t>
      </w:r>
    </w:p>
    <w:p>
      <w:pPr>
        <w:adjustRightInd w:val="0"/>
        <w:snapToGrid w:val="0"/>
        <w:spacing w:line="360" w:lineRule="auto"/>
        <w:ind w:firstLine="480"/>
        <w:rPr>
          <w:rFonts w:ascii="宋体" w:hAnsi="宋体" w:cs="Arial"/>
          <w:sz w:val="24"/>
        </w:rPr>
      </w:pPr>
      <w:r>
        <w:rPr>
          <w:rFonts w:hint="eastAsia" w:ascii="宋体" w:hAnsi="宋体" w:cs="Arial"/>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hint="eastAsia" w:ascii="宋体" w:hAnsi="宋体"/>
          <w:sz w:val="24"/>
        </w:rPr>
        <w:t>。</w:t>
      </w:r>
      <w:r>
        <w:rPr>
          <w:rFonts w:hint="eastAsia" w:ascii="宋体" w:hAnsi="宋体" w:cs="Arial"/>
          <w:sz w:val="24"/>
        </w:rPr>
        <w:t>基金托管人更换接收基金管理人指令的人员，应提前通过录音电话通知基金管理人。</w:t>
      </w:r>
    </w:p>
    <w:p>
      <w:pPr>
        <w:adjustRightInd w:val="0"/>
        <w:snapToGrid w:val="0"/>
        <w:spacing w:line="360" w:lineRule="auto"/>
        <w:ind w:firstLine="480"/>
        <w:rPr>
          <w:rFonts w:ascii="宋体" w:hAnsi="宋体" w:cs="Arial"/>
          <w:sz w:val="24"/>
        </w:rPr>
      </w:pPr>
      <w:r>
        <w:rPr>
          <w:rFonts w:hint="eastAsia" w:ascii="宋体" w:hAnsi="宋体" w:cs="Arial"/>
          <w:sz w:val="24"/>
        </w:rPr>
        <w:t>（八）其他事项</w:t>
      </w:r>
    </w:p>
    <w:p>
      <w:pPr>
        <w:adjustRightInd w:val="0"/>
        <w:snapToGrid w:val="0"/>
        <w:spacing w:line="360" w:lineRule="auto"/>
        <w:ind w:firstLine="480"/>
        <w:rPr>
          <w:rFonts w:ascii="宋体" w:hAnsi="宋体" w:cs="Arial"/>
          <w:sz w:val="24"/>
        </w:rPr>
      </w:pPr>
      <w:r>
        <w:rPr>
          <w:rFonts w:hint="eastAsia" w:ascii="宋体" w:hAnsi="宋体" w:cs="Arial"/>
          <w:sz w:val="24"/>
        </w:rPr>
        <w:t>基金托管人在接收指令时，应对指令的要素是否齐全、印鉴与被授权人签字是否与预留的授权文件内容相符进行检查，如发现问题，应及时报告基金管理人，基金托管人对执行基金管理人的合法指令对基金财产造成的损失不承担赔偿责任。</w:t>
      </w:r>
    </w:p>
    <w:p>
      <w:pPr>
        <w:adjustRightInd w:val="0"/>
        <w:snapToGrid w:val="0"/>
        <w:spacing w:line="360" w:lineRule="auto"/>
        <w:ind w:firstLine="480"/>
        <w:rPr>
          <w:rFonts w:ascii="宋体" w:hAnsi="宋体" w:cs="Arial"/>
          <w:sz w:val="24"/>
        </w:rPr>
      </w:pPr>
      <w:r>
        <w:rPr>
          <w:rFonts w:hint="eastAsia" w:ascii="宋体" w:hAnsi="宋体" w:cs="Arial"/>
          <w:sz w:val="24"/>
        </w:rPr>
        <w:t>基金参与认购未上市债券时，基金管理人应代表本基金与对手方签署相关合同或协议，明确约定债券过户具体事宜。否则，基金管理人需对所认购债券的过户事宜承担相应责任。</w:t>
      </w:r>
    </w:p>
    <w:p>
      <w:pPr>
        <w:adjustRightInd w:val="0"/>
        <w:snapToGrid w:val="0"/>
        <w:spacing w:line="360" w:lineRule="auto"/>
        <w:rPr>
          <w:rFonts w:ascii="宋体" w:hAnsi="宋体" w:cs="Arial"/>
          <w:sz w:val="24"/>
        </w:rPr>
        <w:sectPr>
          <w:footerReference r:id="rId12"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64" w:name="_Toc120435786"/>
      <w:bookmarkStart w:id="65" w:name="_Toc119402713"/>
      <w:bookmarkStart w:id="66" w:name="_Toc86204791"/>
      <w:bookmarkStart w:id="67" w:name="_Toc86727358"/>
      <w:bookmarkStart w:id="68" w:name="_Toc118774806"/>
      <w:bookmarkStart w:id="69" w:name="_Toc86737932"/>
      <w:bookmarkStart w:id="70" w:name="_Toc84234390"/>
      <w:bookmarkStart w:id="71" w:name="_Toc118212953"/>
      <w:bookmarkStart w:id="72" w:name="_Toc89163371"/>
      <w:bookmarkStart w:id="73" w:name="_Toc84234437"/>
      <w:bookmarkStart w:id="74" w:name="_Toc124325891"/>
      <w:bookmarkStart w:id="75" w:name="_Toc110765663"/>
      <w:bookmarkStart w:id="76" w:name="_Toc84133788"/>
      <w:bookmarkStart w:id="77" w:name="_Toc118972651"/>
      <w:bookmarkStart w:id="78" w:name="_Toc108512361"/>
      <w:bookmarkStart w:id="79" w:name="_Toc86225294"/>
      <w:bookmarkStart w:id="80" w:name="_Toc110761799"/>
      <w:bookmarkStart w:id="81" w:name="_Toc86726442"/>
      <w:bookmarkStart w:id="82" w:name="_Toc86223245"/>
      <w:bookmarkStart w:id="83" w:name="_Toc110830495"/>
      <w:bookmarkStart w:id="84" w:name="_Toc86649725"/>
      <w:r>
        <w:rPr>
          <w:rFonts w:hint="eastAsia" w:ascii="宋体" w:hAnsi="宋体" w:eastAsia="宋体"/>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spacing w:line="360" w:lineRule="auto"/>
        <w:ind w:firstLine="480" w:firstLineChars="200"/>
        <w:rPr>
          <w:rFonts w:hint="eastAsia" w:ascii="宋体" w:hAnsi="宋体" w:eastAsia="宋体" w:cs="Arial"/>
          <w:bCs w:val="0"/>
          <w:sz w:val="24"/>
        </w:rPr>
      </w:pPr>
      <w:r>
        <w:rPr>
          <w:rFonts w:hint="eastAsia" w:ascii="宋体" w:hAnsi="宋体" w:eastAsia="宋体" w:cs="Arial"/>
          <w:sz w:val="24"/>
        </w:rPr>
        <w:t>本产品参与交易所场内证券投资，采取托管人结算模式，</w:t>
      </w:r>
      <w:r>
        <w:rPr>
          <w:rFonts w:hint="eastAsia" w:ascii="宋体" w:hAnsi="宋体" w:eastAsia="宋体" w:cs="Arial"/>
          <w:bCs w:val="0"/>
          <w:sz w:val="24"/>
        </w:rPr>
        <w:t>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pPr>
        <w:adjustRightInd w:val="0"/>
        <w:snapToGrid w:val="0"/>
        <w:spacing w:line="360" w:lineRule="auto"/>
        <w:rPr>
          <w:rFonts w:hint="eastAsia" w:ascii="宋体" w:hAnsi="宋体" w:eastAsia="宋体" w:cs="Arial"/>
          <w:sz w:val="24"/>
        </w:rPr>
      </w:pPr>
      <w:r>
        <w:rPr>
          <w:rFonts w:hint="eastAsia" w:ascii="宋体" w:hAnsi="宋体" w:eastAsia="宋体" w:cs="Arial"/>
          <w:sz w:val="24"/>
        </w:rPr>
        <w:t>基金管理人、基金托管人应遵守本合同下述（一）和（二）之约定。</w:t>
      </w:r>
    </w:p>
    <w:p>
      <w:pPr>
        <w:adjustRightInd w:val="0"/>
        <w:snapToGrid w:val="0"/>
        <w:spacing w:line="360" w:lineRule="auto"/>
        <w:ind w:firstLine="480"/>
        <w:rPr>
          <w:rFonts w:ascii="宋体" w:hAnsi="宋体" w:cs="Arial"/>
          <w:sz w:val="24"/>
        </w:rPr>
      </w:pPr>
      <w:r>
        <w:rPr>
          <w:rFonts w:hint="eastAsia" w:ascii="宋体" w:hAnsi="宋体" w:cs="Arial"/>
          <w:sz w:val="24"/>
        </w:rPr>
        <w:t>（一）选择证券、期货买卖的证券、期货经营机构</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应设计选择证券、期货买卖的证券、期货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负责选择代理本基金期货交易的期货经营机构，并与其签订期货经营合同，其他事宜根据法律法规、《基金合同》的相关规定执行，若无明确规定的，可参照有关证券买卖、证券经营机构选择的规则执行。</w:t>
      </w:r>
    </w:p>
    <w:p>
      <w:pPr>
        <w:adjustRightInd w:val="0"/>
        <w:snapToGrid w:val="0"/>
        <w:spacing w:line="360" w:lineRule="auto"/>
        <w:ind w:firstLine="480" w:firstLineChars="200"/>
        <w:rPr>
          <w:rFonts w:ascii="宋体" w:hAnsi="宋体" w:cs="Arial"/>
          <w:sz w:val="24"/>
        </w:rPr>
      </w:pPr>
      <w:r>
        <w:rPr>
          <w:rFonts w:hint="eastAsia" w:ascii="宋体" w:hAnsi="宋体" w:cs="Arial"/>
          <w:sz w:val="24"/>
        </w:rPr>
        <w:t xml:space="preserve">本基金在开始进行期货投资之前，应与基金托管人、期货公司三方一同就期货开户、清算、估值、交收等事宜另行签署《期货投资托管操作三方备忘录》。 </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本基金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（二）基金投资证券后的清算交收安排</w:t>
      </w:r>
    </w:p>
    <w:p>
      <w:pPr>
        <w:adjustRightInd w:val="0"/>
        <w:snapToGrid w:val="0"/>
        <w:spacing w:line="360" w:lineRule="auto"/>
        <w:ind w:firstLine="480" w:firstLineChars="200"/>
        <w:rPr>
          <w:rFonts w:hint="eastAsia" w:ascii="宋体" w:hAnsi="宋体" w:eastAsia="宋体" w:cs="Arial"/>
          <w:sz w:val="24"/>
        </w:rPr>
      </w:pPr>
      <w:r>
        <w:rPr>
          <w:rFonts w:hint="eastAsia" w:ascii="宋体" w:hAnsi="宋体" w:eastAsia="宋体" w:cs="Arial"/>
          <w:sz w:val="24"/>
        </w:rPr>
        <w:t>1.结算备付金与保证金</w:t>
      </w:r>
    </w:p>
    <w:p>
      <w:pPr>
        <w:spacing w:line="360" w:lineRule="auto"/>
        <w:ind w:firstLine="480" w:firstLineChars="200"/>
        <w:rPr>
          <w:rFonts w:hint="eastAsia" w:ascii="宋体" w:hAnsi="宋体" w:eastAsia="宋体" w:cs="Arial"/>
          <w:bCs w:val="0"/>
          <w:sz w:val="24"/>
        </w:rPr>
      </w:pPr>
      <w:r>
        <w:rPr>
          <w:rFonts w:hint="eastAsia" w:ascii="宋体" w:hAnsi="宋体" w:eastAsia="宋体" w:cs="Arial"/>
          <w:bCs w:val="0"/>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r>
        <w:rPr>
          <w:rFonts w:hint="eastAsia" w:ascii="宋体" w:hAnsi="宋体" w:eastAsia="宋体" w:cs="Arial"/>
          <w:sz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pPr>
        <w:spacing w:line="360" w:lineRule="auto"/>
        <w:ind w:firstLine="480" w:firstLineChars="200"/>
        <w:rPr>
          <w:rFonts w:hint="eastAsia" w:ascii="宋体" w:hAnsi="宋体" w:eastAsia="宋体" w:cs="Arial"/>
          <w:sz w:val="24"/>
        </w:rPr>
      </w:pPr>
      <w:r>
        <w:rPr>
          <w:rFonts w:hint="eastAsia" w:ascii="宋体" w:hAnsi="宋体" w:eastAsia="宋体" w:cs="Arial"/>
          <w:sz w:val="24"/>
        </w:rPr>
        <w:t>（1）固定备付金比例计收方式下，基金管理人应在调整最低备付金、结算保证金当日上午11：00之前补足金额。</w:t>
      </w:r>
    </w:p>
    <w:p>
      <w:pPr>
        <w:spacing w:line="360" w:lineRule="auto"/>
        <w:ind w:firstLine="480" w:firstLineChars="200"/>
        <w:rPr>
          <w:rFonts w:hint="eastAsia" w:ascii="宋体" w:hAnsi="宋体" w:eastAsia="宋体" w:cs="Arial"/>
          <w:sz w:val="24"/>
        </w:rPr>
      </w:pPr>
      <w:r>
        <w:rPr>
          <w:rFonts w:hint="eastAsia" w:ascii="宋体" w:hAnsi="宋体" w:eastAsia="宋体" w:cs="Arial"/>
          <w:sz w:val="24"/>
        </w:rPr>
        <w:t>（2）差异化备付金比例计收方式下，基金管理人应最晚于资金交收日上午8：30前补足金额。</w:t>
      </w:r>
    </w:p>
    <w:p>
      <w:pPr>
        <w:adjustRightInd w:val="0"/>
        <w:snapToGrid w:val="0"/>
        <w:spacing w:line="360" w:lineRule="auto"/>
        <w:ind w:firstLine="480" w:firstLineChars="200"/>
        <w:rPr>
          <w:rFonts w:hint="eastAsia" w:ascii="宋体" w:hAnsi="宋体" w:cs="Arial"/>
          <w:sz w:val="24"/>
        </w:rPr>
      </w:pPr>
      <w:r>
        <w:rPr>
          <w:rFonts w:hint="eastAsia" w:ascii="宋体" w:hAnsi="宋体" w:eastAsia="宋体" w:cs="Arial"/>
          <w:bCs w:val="0"/>
          <w:sz w:val="24"/>
        </w:rPr>
        <w:t>2、清算交收</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基金托管人负责基金买卖证券的清算交收。场内资金结算由基金托管人根据中国证券登记结算有限责任公司结算数据办理；场外资金汇划由基金托管人根据基金管理人的交易划款指令具体办理。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如果因为基金托管人过错在清算上造成基金财产的直接损失，应由基金托管人负责赔偿</w:t>
      </w:r>
      <w:r>
        <w:rPr>
          <w:rFonts w:hint="eastAsia" w:ascii="宋体" w:hAnsi="宋体" w:cs="Arial"/>
          <w:kern w:val="2"/>
          <w:sz w:val="24"/>
          <w:szCs w:val="24"/>
          <w:u w:val="none"/>
          <w:lang w:val="zh-CN"/>
        </w:rPr>
        <w:t>，</w:t>
      </w:r>
      <w:r>
        <w:rPr>
          <w:rFonts w:hint="eastAsia" w:ascii="宋体" w:hAnsi="宋体" w:eastAsia="宋体" w:cs="Arial"/>
          <w:sz w:val="24"/>
        </w:rPr>
        <w:t>但因中国人民银行、中国结算和银行间市场登记结算机构资金结算系统以及其他机构的结算系统发生故障等非基金托管人的过错造成清算资金无法按时到账的情形，基金托管人免责</w:t>
      </w:r>
      <w:r>
        <w:rPr>
          <w:rFonts w:hint="eastAsia" w:ascii="宋体" w:hAnsi="宋体" w:cs="Arial"/>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处理，由此给基金托管人和本基金和</w:t>
      </w:r>
      <w:r>
        <w:rPr>
          <w:rFonts w:hint="eastAsia" w:ascii="宋体" w:hAnsi="宋体" w:eastAsia="宋体" w:cs="Arial"/>
          <w:sz w:val="24"/>
        </w:rPr>
        <w:t>基金托管人托管的其他资产</w:t>
      </w:r>
      <w:r>
        <w:rPr>
          <w:rFonts w:hint="eastAsia" w:ascii="宋体" w:hAnsi="宋体" w:cs="Arial"/>
          <w:sz w:val="24"/>
        </w:rPr>
        <w:t>造成的直接损失由基金管理人承担。</w:t>
      </w:r>
    </w:p>
    <w:p>
      <w:pPr>
        <w:spacing w:line="360" w:lineRule="auto"/>
        <w:ind w:firstLine="480" w:firstLineChars="200"/>
        <w:rPr>
          <w:rFonts w:hint="eastAsia" w:ascii="宋体" w:hAnsi="宋体" w:eastAsia="宋体" w:cs="Arial"/>
          <w:sz w:val="24"/>
        </w:rPr>
      </w:pPr>
      <w:r>
        <w:rPr>
          <w:rFonts w:hint="eastAsia" w:ascii="宋体" w:hAnsi="宋体" w:cs="Arial"/>
          <w:sz w:val="24"/>
        </w:rPr>
        <w:t>基金管理人应采取合理、必要措施，确保T日日终有足够的资金头寸完成T+1日中国证券登记结算有限责任公司的资金交收；如因基金管理人原因导致资金头寸不足，基金管理人</w:t>
      </w:r>
      <w:r>
        <w:rPr>
          <w:rFonts w:hint="eastAsia" w:ascii="宋体" w:hAnsi="宋体" w:eastAsia="宋体" w:cs="Arial"/>
          <w:sz w:val="24"/>
        </w:rPr>
        <w:t>应视基金托管人最低结算备付金比例计收方式分别于下列时点补足透支金额：</w:t>
      </w:r>
    </w:p>
    <w:p>
      <w:pPr>
        <w:spacing w:line="360" w:lineRule="auto"/>
        <w:ind w:firstLine="480" w:firstLineChars="200"/>
        <w:rPr>
          <w:rFonts w:hint="eastAsia" w:ascii="宋体" w:hAnsi="宋体" w:eastAsia="宋体" w:cs="Arial"/>
          <w:sz w:val="24"/>
        </w:rPr>
      </w:pPr>
      <w:r>
        <w:rPr>
          <w:rFonts w:hint="eastAsia" w:ascii="宋体" w:hAnsi="宋体" w:eastAsia="宋体" w:cs="Arial"/>
          <w:sz w:val="24"/>
        </w:rPr>
        <w:t>（1）固定备付金比例计收方式下，基金管理人应最晚于资金交收日上午11：00前补足金额。</w:t>
      </w:r>
    </w:p>
    <w:p>
      <w:pPr>
        <w:adjustRightInd w:val="0"/>
        <w:snapToGrid w:val="0"/>
        <w:spacing w:line="360" w:lineRule="auto"/>
        <w:ind w:firstLine="480" w:firstLineChars="200"/>
        <w:rPr>
          <w:rFonts w:ascii="宋体" w:hAnsi="宋体" w:cs="Arial"/>
          <w:sz w:val="24"/>
        </w:rPr>
      </w:pPr>
      <w:r>
        <w:rPr>
          <w:rFonts w:hint="eastAsia" w:ascii="宋体" w:hAnsi="宋体" w:eastAsia="宋体" w:cs="Arial"/>
          <w:sz w:val="24"/>
        </w:rPr>
        <w:t>（2）差异化备付金比例计收方式下，基金管理人应最晚于资金交收日上午8：30前补足金额</w:t>
      </w:r>
      <w:r>
        <w:rPr>
          <w:rFonts w:hint="eastAsia" w:ascii="宋体" w:hAnsi="宋体" w:eastAsia="宋体" w:cs="Arial"/>
          <w:kern w:val="2"/>
          <w:sz w:val="24"/>
        </w:rPr>
        <w:t>。</w:t>
      </w:r>
      <w:r>
        <w:rPr>
          <w:rFonts w:hint="eastAsia" w:ascii="宋体" w:hAnsi="宋体" w:cs="Arial"/>
          <w:sz w:val="24"/>
        </w:rPr>
        <w:t>如果未遵循上述规定备足资金头寸，影响基金资产的清算交收及基金托管人与中国证券登记结算有限责任公司之间的一级清算，由此给基金托管人和基金资产和</w:t>
      </w:r>
      <w:r>
        <w:rPr>
          <w:rFonts w:hint="eastAsia" w:ascii="宋体" w:hAnsi="宋体" w:eastAsia="宋体" w:cs="Arial"/>
          <w:sz w:val="24"/>
        </w:rPr>
        <w:t>基金托管人托管的其他资产</w:t>
      </w:r>
      <w:r>
        <w:rPr>
          <w:rFonts w:hint="eastAsia" w:ascii="宋体" w:hAnsi="宋体" w:cs="Arial"/>
          <w:sz w:val="24"/>
        </w:rPr>
        <w:t>造成的直接损失由基金管理人负责。</w:t>
      </w:r>
    </w:p>
    <w:p>
      <w:pPr>
        <w:adjustRightInd w:val="0"/>
        <w:snapToGrid w:val="0"/>
        <w:spacing w:line="360" w:lineRule="auto"/>
        <w:ind w:firstLine="480" w:firstLineChars="200"/>
        <w:rPr>
          <w:rFonts w:hint="eastAsia" w:ascii="宋体" w:hAnsi="宋体" w:cs="Arial"/>
          <w:sz w:val="24"/>
        </w:rPr>
      </w:pPr>
      <w:r>
        <w:rPr>
          <w:rFonts w:hint="eastAsia" w:ascii="宋体" w:hAnsi="宋体" w:cs="Arial"/>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pPr>
        <w:spacing w:line="360" w:lineRule="auto"/>
        <w:ind w:firstLine="480" w:firstLineChars="200"/>
        <w:rPr>
          <w:rFonts w:hint="eastAsia" w:ascii="宋体" w:hAnsi="宋体" w:eastAsia="宋体" w:cs="Arial"/>
          <w:sz w:val="24"/>
        </w:rPr>
      </w:pPr>
      <w:r>
        <w:rPr>
          <w:rFonts w:hint="eastAsia" w:ascii="宋体" w:hAnsi="宋体" w:eastAsia="宋体" w:cs="Arial"/>
          <w:sz w:val="24"/>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承担。包括赔偿在该市场引起其他托管客户交易失败、赔偿因占用结算参与人最低备付金带来的利息损失。</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2.交易记录、资金和证券/期货账目核对的时间和方式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（1）交易记录的核对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按日进行交易记录的核对。对外披露基金净值之前，必须保证当天所有实际交易记录与基金会计账簿上的交易记录完全一致。如果实际交易记录与会计账簿记录不一致，造成基金会计核算不完整或不真实，由此导致的损失由基金管理人承担。</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（2）资金账目的核对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资金账目按日核实。</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（3）证券/期货账目的核对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基金管理人和基金托管人每交易日结束后核对基金证券/期货账目，确保双方账目相符。基金管理人和基金托管人每月月末核对实物证券账目。</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（三）基金申购和赎回业务处理的基本规定</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1.基金份额申购、赎回的确认、清算由基金管理人或其委托的登记机构负责。</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3.基金管理人应保证本基金（或本基金管理人委托）的登记机构每个工作日15:00前向基金托管人发送前一开放日上述有关数据，并保证相关数据的准确、完整。</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pPr>
        <w:adjustRightInd w:val="0"/>
        <w:snapToGrid w:val="0"/>
        <w:spacing w:line="360" w:lineRule="auto"/>
        <w:ind w:firstLine="480" w:firstLineChars="200"/>
        <w:rPr>
          <w:rFonts w:ascii="宋体" w:hAnsi="宋体" w:cs="Arial"/>
          <w:sz w:val="24"/>
        </w:rPr>
      </w:pPr>
      <w:r>
        <w:rPr>
          <w:rFonts w:hint="eastAsia" w:ascii="宋体" w:hAnsi="宋体" w:cs="Arial"/>
          <w:sz w:val="24"/>
        </w:rPr>
        <w:t>5.如基金管理人委托其他机构办理本基金的注册登记业务，应保证上述相关事宜按时进行。否则，由基金管理人承担相应的责任。</w:t>
      </w:r>
    </w:p>
    <w:p>
      <w:pPr>
        <w:adjustRightInd w:val="0"/>
        <w:snapToGrid w:val="0"/>
        <w:spacing w:line="360" w:lineRule="auto"/>
        <w:ind w:firstLine="480" w:firstLineChars="200"/>
        <w:rPr>
          <w:rFonts w:ascii="宋体" w:hAnsi="宋体" w:cs="Arial"/>
          <w:sz w:val="24"/>
        </w:rPr>
      </w:pPr>
      <w:r>
        <w:rPr>
          <w:rFonts w:hint="eastAsia" w:ascii="宋体" w:hAnsi="宋体" w:cs="Arial"/>
          <w:sz w:val="24"/>
        </w:rPr>
        <w:t>6.关于清算专用账户的设立和管理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为满足申购、赎回及分红资金汇划的需要，由基金管理人开立资金清算的专用账户，该账户由登记机构管理。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予以必要的协助和配合。</w:t>
      </w:r>
    </w:p>
    <w:p>
      <w:pPr>
        <w:adjustRightInd w:val="0"/>
        <w:snapToGrid w:val="0"/>
        <w:spacing w:line="360" w:lineRule="auto"/>
        <w:ind w:firstLine="480" w:firstLineChars="200"/>
        <w:rPr>
          <w:rFonts w:ascii="宋体" w:hAnsi="宋体" w:cs="Arial"/>
          <w:sz w:val="24"/>
        </w:rPr>
      </w:pPr>
      <w:r>
        <w:rPr>
          <w:rFonts w:hint="eastAsia" w:ascii="宋体" w:hAnsi="宋体" w:cs="Arial"/>
          <w:sz w:val="24"/>
        </w:rPr>
        <w:t>8.赎回和分红资金划拨规定</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拨付赎回款或进行基金分红时，如基金资金账户有足够的资金，基金托管人应按时拨付；因基金资金账户没有足够的资金，导致基金托管人不能按时拨付，基金托管人应及时通知基金管理人，如系基金管理人的原因造成，责任由基金管理人承担，基金托管人不承担垫款义务。</w:t>
      </w:r>
    </w:p>
    <w:p>
      <w:pPr>
        <w:adjustRightInd w:val="0"/>
        <w:snapToGrid w:val="0"/>
        <w:spacing w:line="360" w:lineRule="auto"/>
        <w:ind w:firstLine="480" w:firstLineChars="200"/>
        <w:rPr>
          <w:rFonts w:ascii="宋体" w:hAnsi="宋体" w:cs="Arial"/>
          <w:sz w:val="24"/>
        </w:rPr>
      </w:pPr>
      <w:r>
        <w:rPr>
          <w:rFonts w:hint="eastAsia" w:ascii="宋体" w:hAnsi="宋体" w:cs="Arial"/>
          <w:sz w:val="24"/>
        </w:rPr>
        <w:t>9.资金指令</w:t>
      </w:r>
    </w:p>
    <w:p>
      <w:pPr>
        <w:adjustRightInd w:val="0"/>
        <w:snapToGrid w:val="0"/>
        <w:spacing w:line="360" w:lineRule="auto"/>
        <w:ind w:firstLine="480" w:firstLineChars="200"/>
        <w:rPr>
          <w:rFonts w:ascii="宋体" w:hAnsi="宋体" w:cs="Arial"/>
          <w:sz w:val="24"/>
        </w:rPr>
      </w:pPr>
      <w:r>
        <w:rPr>
          <w:rFonts w:hint="eastAsia" w:ascii="宋体" w:hAnsi="宋体" w:cs="Arial"/>
          <w:sz w:val="24"/>
        </w:rPr>
        <w:t>除申购款项到达基金资金账户需双方按约定方式对账外，回购到期付款和与投资有关的付款、赎回和分红资金划拨时，基金管理人需向基金托管人下达指令。</w:t>
      </w:r>
    </w:p>
    <w:p>
      <w:pPr>
        <w:adjustRightInd w:val="0"/>
        <w:snapToGrid w:val="0"/>
        <w:spacing w:line="360" w:lineRule="auto"/>
        <w:ind w:firstLine="480" w:firstLineChars="200"/>
        <w:rPr>
          <w:rFonts w:ascii="宋体" w:hAnsi="宋体" w:cs="Arial"/>
          <w:sz w:val="24"/>
        </w:rPr>
      </w:pPr>
      <w:r>
        <w:rPr>
          <w:rFonts w:hint="eastAsia" w:ascii="宋体" w:hAnsi="宋体" w:cs="Arial"/>
          <w:sz w:val="24"/>
        </w:rPr>
        <w:t>资金指令的格式、内容、发送、接收和确认方式等与投资指令相同。</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（四）申赎净额结算</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托管账户与“基金清算账户”间的资金结算遵循“全额清算、净额交收”的原则，每日按照托管账户应收资金(申购申请对应申购金额与基金转换转入申请对应金额之和)与应付资金(赎回申请对应赎回金额扣除归基金资产的费用与基金转换转出申请对应金额扣除归基金资产的费用之和)的差额来确定托管账户净应收额或净应付额，以此确定资金交收额。当存在托管账户净应收额时，基金管理人应在交收日15:00之前从基金清算账户划到基金托管账户；当存在托管账户净应付额时，基金管理人应在交收日的前一工作日将划款指令发送给基金托管人，基金托管人按基金管理人的划款指令将托管账户净应付额在交收日12:00之前划往基金清算账户。</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（五）基金转换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1.在本基金与基金管理人管理的其它基金开展转换业务之前，基金管理人应函告基金托管人并就相关事宜进行协商。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2.基金托管人将根据基金管理人传送的基金转换数据进行账务处理，具体资金清算和数据传递的时间、程序及托管协议当事人承担的权责按基金管理人届时的公告执行。</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3.本基金开展基金转换业务应按相关法律法规规定及《基金合同》的约定进行公告。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（六）基金现金分红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1.基金管理人确定分红方案通知基金托管人，双方核定后依照《公开募集证券投资基金信息披露管理办法》的有关规定在中国证监会规定媒介上公告。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2.基金托管人和基金管理人对基金分红进行账务处理并核对后，基金管理人向基金托管人发送现金红利的划款指令，基金托管人应及时将资金划入专用账户。</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3.基金管理人在下达指令时，应给基金托管人留出必需的划款时间。</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（七）投资银行存款的特别约定</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1.本基金投资银行存款前，基金管理人应与存款银行签订具体存款协议，包括但不限于以下内容：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（1）存款账户必须以本基金名义开立，并将基金托管人为本基金开立的基金银行账户指定为唯一回款账户，任何情况下，存款银行都不得将存款投资本息划往任何其他账户。</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（2）存款银行不得接受基金管理人或基金托管人任何一方单方面提出的对存款进行更名、转让、挂失、质押、担保、撤销、变更印鉴及回款账户信息等可能导致财产转移的操作申请。</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（3）约定存款证实书的具体传递交接方式及交接期限。</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（4）资金划转过程中需要使用存款银行过渡账户的，存款银行须保证资金在过渡账户中不出现滞留，不被挪用。</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pPr>
        <w:adjustRightInd w:val="0"/>
        <w:snapToGrid w:val="0"/>
        <w:spacing w:line="360" w:lineRule="auto"/>
        <w:ind w:firstLine="480" w:firstLineChars="200"/>
        <w:rPr>
          <w:rFonts w:ascii="宋体" w:hAnsi="宋体" w:cs="Arial"/>
          <w:sz w:val="24"/>
        </w:rPr>
        <w:sectPr>
          <w:footerReference r:id="rId13"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85" w:name="_Toc124325892"/>
      <w:r>
        <w:rPr>
          <w:rFonts w:hint="eastAsia" w:ascii="宋体" w:hAnsi="宋体" w:eastAsia="宋体"/>
          <w:sz w:val="30"/>
        </w:rPr>
        <w:t>八、基金资产净值计算和会计核算</w:t>
      </w:r>
      <w:bookmarkEnd w:id="85"/>
    </w:p>
    <w:p>
      <w:pPr>
        <w:adjustRightInd w:val="0"/>
        <w:snapToGrid w:val="0"/>
        <w:spacing w:line="360" w:lineRule="auto"/>
        <w:ind w:firstLine="480" w:firstLineChars="200"/>
        <w:rPr>
          <w:rFonts w:ascii="宋体" w:hAnsi="宋体" w:cs="Arial"/>
          <w:sz w:val="24"/>
        </w:rPr>
      </w:pPr>
      <w:r>
        <w:rPr>
          <w:rFonts w:hint="eastAsia" w:ascii="宋体" w:hAnsi="宋体" w:cs="Arial"/>
          <w:sz w:val="24"/>
        </w:rPr>
        <w:t>（一）基金资产净值的计算、复核与完成的时间及程序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各类基金份额净值是按照每个工作日闭市后，各类基金资产净值除以当日该类基金份额的余额数量计算，均精确到0.0001元，小数点后第5位四舍五入，由此产生的误差计入基金财产。基金管理人可以设立大额赎回情形下的净值精度应急调整机制。国家另有规定的，从其规定。</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基金管理人于每个工作日计算基金资产净值及各类基金份额净值，并按规定公告。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（二）基金资产估值方法和特殊情形的处理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1.估值对象</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基金所拥有的股票（含存托凭证）、股指期货合约、国债期货合约、股票期权合约、债券和银行存款本息、应收款项、</w:t>
      </w:r>
      <w:r>
        <w:rPr>
          <w:rFonts w:hint="eastAsia"/>
          <w:bCs/>
          <w:sz w:val="24"/>
        </w:rPr>
        <w:t>资产支持证券、</w:t>
      </w:r>
      <w:r>
        <w:rPr>
          <w:rFonts w:hint="eastAsia" w:ascii="宋体" w:hAnsi="宋体" w:cs="Arial"/>
          <w:sz w:val="24"/>
        </w:rPr>
        <w:t>其它投资等资产及负债。</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2.估值原则</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基金管理人在确定相关金融资产和金融负债的公允价值时，应符合《企业会计准则》、监管部门有关规定。</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与上述投资品种</w:t>
      </w:r>
      <w:r>
        <w:rPr>
          <w:rFonts w:ascii="宋体" w:hAnsi="宋体" w:cs="Arial"/>
          <w:sz w:val="24"/>
        </w:rPr>
        <w:t>相</w:t>
      </w:r>
      <w:r>
        <w:rPr>
          <w:rFonts w:hint="eastAsia" w:ascii="宋体" w:hAnsi="宋体" w:cs="Arial"/>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3.估值方法</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交易所上市或挂牌转让的有价证券（包括股票等，基金合同另有约定的除外），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（2）对于已上市或已挂牌转让的不含权固定收益品种，选取估值日第三方估值基准服务机构提供的相应品种当日的估值全价进行估值。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（3）对于已上市或已挂牌转让的含权固定收益品种，选取估值日第三方估值基准服务机构提供的相应品种当日的唯一估值全价或推荐估值全价进行估值；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adjustRightInd w:val="0"/>
        <w:snapToGrid w:val="0"/>
        <w:spacing w:line="360" w:lineRule="auto"/>
        <w:ind w:firstLine="480" w:firstLineChars="200"/>
        <w:rPr>
          <w:bCs/>
          <w:sz w:val="24"/>
        </w:rPr>
      </w:pPr>
      <w:r>
        <w:rPr>
          <w:rFonts w:hint="eastAsia" w:ascii="宋体" w:hAnsi="宋体" w:cs="Arial"/>
          <w:sz w:val="24"/>
        </w:rPr>
        <w:t>（5）对于未上市或未挂牌转让且不存在活跃市场的固定收益品种，应采用在当前情况下适用并且有足够可利用数据和其他信息支持的估值技术确定其公允价值。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（6）处于未上市期间的股票应区分如下情况处理：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2）首次公开发行未上市的股票，采用估值技术确定公允价值；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（7）本基金投资存托凭证的估值核算，依照境内上市交易的股票执行。</w:t>
      </w:r>
    </w:p>
    <w:p>
      <w:pPr>
        <w:adjustRightInd w:val="0"/>
        <w:snapToGrid w:val="0"/>
        <w:spacing w:line="360" w:lineRule="auto"/>
        <w:ind w:firstLine="480" w:firstLineChars="200"/>
        <w:rPr>
          <w:rFonts w:ascii="宋体" w:hAnsi="宋体" w:cs="Arial"/>
          <w:sz w:val="24"/>
        </w:rPr>
      </w:pPr>
      <w:r>
        <w:rPr>
          <w:rFonts w:hint="eastAsia" w:ascii="宋体" w:hAnsi="宋体" w:cs="Arial"/>
          <w:sz w:val="24"/>
        </w:rPr>
        <w:t>（8）同一证券同时在两个或两个以上市场交易的，按证券所处的市场分别估值。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（9）本基金投资股指期货合约、国债期货合约，一般以估值当日结算价进行估值，估值当日无结算价的，且最近交易日后经济环境未发生重大变化的，采用最近交易日结算价估值。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（10）本基金投资股票期权，根据相关法律法规以及监管部门的规定估值。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（11）本基金参与融资或转融通证券出借业务的，应参照行业协会的相关规定进行估值，确保估值的公允性。</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（12）如有确凿证据表明按上述方法进行估值不能客观反映其公允价值的，基金管理人可根据具体情况与基金托管人商定后，按最能反映公允价值的价格估值。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（13）当发生大额申购或赎回情形时，基金管理人可以采用摆动定价机制，以确保基金估值的公平性。具体处理原则与操作规范遵循相关法律法规以及监管部门、自律规则的规定。</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（14）相关法律法规以及监管部门有强制规定的，从其规定。如有新增事项，按国家最新规定估值。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的计算结果对外予以公布。</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4.特殊情形的处理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（1）基金管理人或基金托管人按估值方法的第（12）项进行估值时，所造成的误差不作为基金资产估值错误处理。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由于有关会计制度变化或不可抗力原因，或由于证券、期货交易所或登记结算公司、指数编制机构及存款银行等第三方机构发送的数据错误、遗漏、市场规则变更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（三）基金份额净值错误的处理方式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当任一类基金份额净值小数点后4位以内（含第4位）发生差错时，视为该类基金份额净值错误；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错误偏差达到该类基金份额净值的0.25%时，基金管理人应当通报基金托管人并报中国证监会备案；错误偏差达到该类基金份额净值的0.50%时，基金管理人应当公告，并报中国证监会备案；当发生净值计算错误时，由基金管理人负责处理，</w:t>
      </w:r>
      <w:r>
        <w:rPr>
          <w:rFonts w:hint="eastAsia" w:ascii="宋体" w:hAnsi="宋体" w:cs="Arial"/>
          <w:sz w:val="24"/>
          <w:lang w:val="en-US" w:eastAsia="zh-CN"/>
        </w:rPr>
        <w:t>由此给基金份额持有人和基金造成损失的，应由基金管理人先行赔付，基金管理人按差错情形，有权向其他当事人追偿</w:t>
      </w:r>
      <w:r>
        <w:rPr>
          <w:rFonts w:hint="eastAsia" w:ascii="宋体" w:hAnsi="宋体" w:cs="Arial"/>
          <w:sz w:val="24"/>
        </w:rPr>
        <w:t>。</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3.当基金份额净值计算差错给基金和基金份额持有人造成损失需要进行赔偿时，基金管理人和基金托管人应根据实际情况界定双方承担的责任，经确认后按以下条款进行赔偿：</w:t>
      </w:r>
    </w:p>
    <w:p>
      <w:pPr>
        <w:adjustRightInd w:val="0"/>
        <w:snapToGrid w:val="0"/>
        <w:spacing w:line="360" w:lineRule="auto"/>
        <w:ind w:firstLine="480" w:firstLineChars="200"/>
        <w:rPr>
          <w:rFonts w:ascii="宋体" w:hAnsi="宋体" w:cs="Arial"/>
          <w:sz w:val="24"/>
        </w:rPr>
      </w:pPr>
      <w:r>
        <w:rPr>
          <w:rFonts w:hint="eastAsia" w:ascii="宋体" w:hAnsi="宋体"/>
          <w:sz w:val="24"/>
        </w:rPr>
        <w:t>（1）</w:t>
      </w:r>
      <w:r>
        <w:rPr>
          <w:rFonts w:ascii="宋体" w:hAnsi="宋体"/>
          <w:sz w:val="24"/>
        </w:rPr>
        <w:t>本基金的基金会计责任方由基金管理人担任，与本基金有关的会计问题，如经双方在平等基础上充分讨论后，尚不能达成一致时，按基金管理人的建议执行，由此给基金份额持有人和基金财产造成的</w:t>
      </w:r>
      <w:r>
        <w:rPr>
          <w:rFonts w:hint="eastAsia" w:ascii="宋体" w:hAnsi="宋体" w:cs="Arial"/>
          <w:sz w:val="24"/>
        </w:rPr>
        <w:t>损失，由基金管理人负责赔付。</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若基金管理人计算的各类基金份额净值已由基金托管人复核确认后公告，而且基金托管人未对计算过程提出疑义或要求基金管理人书面说明，该类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由于基金管理人提供的信息错误（包括但不限于基金申购或赎回金额等），进而导致各类基金份额净值计算错误而引起的基金份额持有人和基金财产的损失，由</w:t>
      </w:r>
      <w:r>
        <w:rPr>
          <w:rFonts w:hint="eastAsia" w:ascii="宋体" w:hAnsi="宋体" w:cs="Arial"/>
          <w:sz w:val="24"/>
        </w:rPr>
        <w:t>基金管理人负责赔付。</w:t>
      </w:r>
    </w:p>
    <w:p>
      <w:pPr>
        <w:adjustRightInd w:val="0"/>
        <w:snapToGrid w:val="0"/>
        <w:spacing w:line="360" w:lineRule="auto"/>
        <w:ind w:firstLine="480" w:firstLineChars="200"/>
        <w:rPr>
          <w:rFonts w:ascii="宋体" w:hAnsi="宋体" w:cs="Arial"/>
          <w:sz w:val="24"/>
        </w:rPr>
      </w:pPr>
      <w:r>
        <w:rPr>
          <w:rFonts w:ascii="宋体" w:hAnsi="宋体" w:cs="Arial"/>
          <w:sz w:val="24"/>
        </w:rPr>
        <w:t>4</w:t>
      </w:r>
      <w:r>
        <w:rPr>
          <w:rFonts w:hint="eastAsia" w:ascii="宋体" w:hAnsi="宋体" w:cs="Arial"/>
          <w:sz w:val="24"/>
        </w:rPr>
        <w:t>.基金管理人和基金托管人由于各自技术系统设置而产生的净值计算尾差，以基金管理人计算结果为准。</w:t>
      </w:r>
    </w:p>
    <w:p>
      <w:pPr>
        <w:adjustRightInd w:val="0"/>
        <w:snapToGrid w:val="0"/>
        <w:spacing w:line="360" w:lineRule="auto"/>
        <w:ind w:firstLine="480" w:firstLineChars="200"/>
        <w:rPr>
          <w:rFonts w:ascii="宋体" w:hAnsi="宋体" w:cs="Arial"/>
          <w:sz w:val="24"/>
        </w:rPr>
      </w:pPr>
      <w:r>
        <w:rPr>
          <w:rFonts w:ascii="宋体" w:hAnsi="宋体" w:cs="Arial"/>
          <w:sz w:val="24"/>
        </w:rPr>
        <w:t>5</w:t>
      </w:r>
      <w:r>
        <w:rPr>
          <w:rFonts w:hint="eastAsia" w:ascii="宋体" w:hAnsi="宋体" w:cs="Arial"/>
          <w:sz w:val="24"/>
        </w:rPr>
        <w:t>.前述内容如法律法规或监管机关另有规定的，从其规定处理。如果行业另有通行做法，基金管理人和基金托管人应本着平等和保护基金份额持有人利益的原则进行协商。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（四）暂停估值的情形</w:t>
      </w:r>
    </w:p>
    <w:p>
      <w:pPr>
        <w:spacing w:line="360" w:lineRule="auto"/>
        <w:ind w:firstLine="480"/>
        <w:rPr>
          <w:rFonts w:cs="宋体"/>
          <w:sz w:val="24"/>
        </w:rPr>
      </w:pPr>
      <w:r>
        <w:rPr>
          <w:rFonts w:hint="eastAsia" w:cs="宋体"/>
          <w:sz w:val="24"/>
        </w:rPr>
        <w:t>1、基金投资所涉及的证券、期货交易市场遇法定节假日或因其他原因暂停营业时；</w:t>
      </w:r>
    </w:p>
    <w:p>
      <w:pPr>
        <w:spacing w:line="360" w:lineRule="auto"/>
        <w:ind w:firstLine="480"/>
        <w:rPr>
          <w:rFonts w:cs="宋体"/>
          <w:sz w:val="24"/>
        </w:rPr>
      </w:pPr>
      <w:r>
        <w:rPr>
          <w:rFonts w:hint="eastAsia" w:cs="宋体"/>
          <w:sz w:val="24"/>
        </w:rPr>
        <w:t>2、因不可抗力致使基金管理人、基金托管人无法准确评估基金资产价值时；</w:t>
      </w:r>
    </w:p>
    <w:p>
      <w:pPr>
        <w:spacing w:line="360" w:lineRule="auto"/>
        <w:ind w:firstLine="480"/>
        <w:rPr>
          <w:rFonts w:cs="宋体"/>
          <w:sz w:val="24"/>
        </w:rPr>
      </w:pPr>
      <w:r>
        <w:rPr>
          <w:rFonts w:hint="eastAsia" w:cs="宋体"/>
          <w:sz w:val="24"/>
        </w:rPr>
        <w:t>3、当特定资产占前一估值日基金资产净值50%以上的，经与基金托管人协商确认后，基金管理人应当暂停估值；</w:t>
      </w:r>
    </w:p>
    <w:p>
      <w:pPr>
        <w:spacing w:line="360" w:lineRule="auto"/>
        <w:ind w:firstLine="480"/>
        <w:rPr>
          <w:rFonts w:cs="宋体"/>
          <w:sz w:val="24"/>
        </w:rPr>
      </w:pPr>
      <w:r>
        <w:rPr>
          <w:rFonts w:hint="eastAsia" w:cs="宋体"/>
          <w:sz w:val="24"/>
        </w:rPr>
        <w:t>4、法律法规规定、中国证监会和基金合同认定的其它情形。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（五）基金会计制度</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按国家有关部门规定的会计制度执行。</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（六）基金账册的建立</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（七）基金财务报表与报告的编制和复核</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1.财务报表的编制</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基金财务报表由基金管理人编制，基金托管人复核。</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2.报表复核</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基金托管人在收到基金管理人编制的基金财务报表后，进行独立的复核。核对不符时，应及时通知基金管理人共同查出原因，进行调整，直至双方数据完全一致。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3.财务报表的编制与复核时间安排</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(1)报表的编制</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(2)报表的复核</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基金管理人应留足充分的时间，便于基金托管人复核相关报表及报告。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（八）基金管理人应在编制季度报告、中期报告或者年度报告之前及时向基金托管人提供基金业绩比较基准编制结果。</w:t>
      </w:r>
    </w:p>
    <w:p>
      <w:pPr>
        <w:pStyle w:val="4"/>
        <w:adjustRightInd w:val="0"/>
        <w:snapToGrid w:val="0"/>
        <w:spacing w:line="360" w:lineRule="auto"/>
        <w:ind w:firstLine="480"/>
        <w:rPr>
          <w:rFonts w:ascii="宋体" w:hAnsi="宋体" w:cs="Arial"/>
          <w:sz w:val="24"/>
        </w:rPr>
      </w:pPr>
      <w:r>
        <w:rPr>
          <w:rFonts w:hint="eastAsia" w:ascii="宋体" w:hAnsi="宋体" w:cs="Arial"/>
          <w:sz w:val="24"/>
        </w:rPr>
        <w:t>（九）实施侧袋机制期间的基金资产估值</w:t>
      </w:r>
    </w:p>
    <w:p>
      <w:pPr>
        <w:pStyle w:val="4"/>
        <w:adjustRightInd w:val="0"/>
        <w:snapToGrid w:val="0"/>
        <w:spacing w:line="360" w:lineRule="auto"/>
        <w:ind w:firstLine="480"/>
        <w:rPr>
          <w:rFonts w:ascii="宋体" w:hAnsi="宋体" w:cs="Arial"/>
          <w:sz w:val="24"/>
        </w:rPr>
        <w:sectPr>
          <w:footerReference r:id="rId14" w:type="default"/>
          <w:pgSz w:w="11906" w:h="16838"/>
          <w:pgMar w:top="1418" w:right="1701" w:bottom="1418" w:left="1701" w:header="851" w:footer="992" w:gutter="0"/>
          <w:pgNumType w:start="1"/>
          <w:cols w:space="425" w:num="1"/>
          <w:docGrid w:type="lines" w:linePitch="312" w:charSpace="0"/>
        </w:sectPr>
      </w:pPr>
      <w:r>
        <w:rPr>
          <w:rFonts w:hint="eastAsia" w:ascii="宋体" w:hAnsi="宋体" w:cs="Arial"/>
          <w:sz w:val="24"/>
        </w:rPr>
        <w:t>本基金实施侧袋机制的，应根据本部分的约定对主袋账户资产进行估值并披露主袋账户的基金净值信息，暂停披露侧袋账户份额净值。</w:t>
      </w:r>
    </w:p>
    <w:p>
      <w:pPr>
        <w:pStyle w:val="3"/>
        <w:spacing w:line="360" w:lineRule="auto"/>
        <w:jc w:val="center"/>
        <w:rPr>
          <w:rFonts w:ascii="宋体" w:hAnsi="宋体" w:eastAsia="宋体"/>
          <w:sz w:val="30"/>
        </w:rPr>
      </w:pPr>
      <w:bookmarkStart w:id="86" w:name="_Toc124325893"/>
      <w:r>
        <w:rPr>
          <w:rFonts w:hint="eastAsia" w:ascii="宋体" w:hAnsi="宋体" w:eastAsia="宋体"/>
          <w:sz w:val="30"/>
        </w:rPr>
        <w:t>九、基金收益分配</w:t>
      </w:r>
      <w:bookmarkEnd w:id="86"/>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基金收益分配是指按规定将基金的可分配收益按基金份额进行比例分配。</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（一）基金收益分配的原则</w:t>
      </w:r>
    </w:p>
    <w:p>
      <w:pPr>
        <w:spacing w:line="360" w:lineRule="auto"/>
        <w:ind w:firstLine="480"/>
        <w:rPr>
          <w:rFonts w:cs="宋体"/>
          <w:sz w:val="24"/>
        </w:rPr>
      </w:pPr>
      <w:r>
        <w:rPr>
          <w:rFonts w:hint="eastAsia" w:cs="宋体"/>
          <w:sz w:val="24"/>
        </w:rPr>
        <w:t>1、由于本基金A类基金份额不收取销售服务费，而C类基金份额收取销售服务费，各基金份额类别对应的可供分配利润将有所不同，本基金同一类别的每一基金份额享有同等分配权；</w:t>
      </w:r>
    </w:p>
    <w:p>
      <w:pPr>
        <w:spacing w:line="360" w:lineRule="auto"/>
        <w:ind w:firstLine="480"/>
        <w:rPr>
          <w:rFonts w:cs="宋体"/>
          <w:sz w:val="24"/>
        </w:rPr>
      </w:pPr>
      <w:r>
        <w:rPr>
          <w:rFonts w:hint="eastAsia" w:cs="宋体"/>
          <w:sz w:val="24"/>
        </w:rPr>
        <w:t>2、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pPr>
        <w:spacing w:line="360" w:lineRule="auto"/>
        <w:ind w:firstLine="480"/>
        <w:rPr>
          <w:rFonts w:cs="宋体"/>
          <w:sz w:val="24"/>
        </w:rPr>
      </w:pPr>
      <w:r>
        <w:rPr>
          <w:rFonts w:hint="eastAsia" w:cs="宋体"/>
          <w:sz w:val="24"/>
        </w:rPr>
        <w:t>3、基金收益分配后各类基金份额净值不能低于面值，即基金收益分配基准日的各类基金份额净值减去每单位该类基金份额收益分配金额后不能低于面值；</w:t>
      </w:r>
    </w:p>
    <w:p>
      <w:pPr>
        <w:spacing w:line="360" w:lineRule="auto"/>
        <w:ind w:firstLine="480"/>
        <w:rPr>
          <w:rFonts w:cs="宋体"/>
          <w:sz w:val="24"/>
        </w:rPr>
      </w:pPr>
      <w:r>
        <w:rPr>
          <w:rFonts w:hint="eastAsia" w:cs="宋体"/>
          <w:sz w:val="24"/>
        </w:rPr>
        <w:t>4、法律法规或监管机关另有规定的，从其规定。</w:t>
      </w:r>
    </w:p>
    <w:p>
      <w:pPr>
        <w:spacing w:line="360" w:lineRule="auto"/>
        <w:ind w:firstLine="480"/>
        <w:rPr>
          <w:rFonts w:cs="宋体"/>
          <w:sz w:val="24"/>
        </w:rPr>
      </w:pPr>
      <w:r>
        <w:rPr>
          <w:rFonts w:hint="eastAsia" w:cs="宋体"/>
          <w:sz w:val="24"/>
        </w:rPr>
        <w:t>在不违反法律法规及基金合同约定，并对基金份额持有人利益无实质不利影响的前提下，基金管理人经与基金托管人协商一致后，可对基金收益分配原则和支付方式进行调整，不需召开基金份额持有人大会。</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（二）基金收益分配的时间和程序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本基金收益分配方案由基金管理人拟</w:t>
      </w:r>
      <w:r>
        <w:rPr>
          <w:rFonts w:ascii="宋体" w:hAnsi="宋体" w:cs="Arial"/>
          <w:sz w:val="24"/>
        </w:rPr>
        <w:t>定</w:t>
      </w:r>
      <w:r>
        <w:rPr>
          <w:rFonts w:hint="eastAsia" w:ascii="宋体" w:hAnsi="宋体" w:cs="Arial"/>
          <w:sz w:val="24"/>
        </w:rPr>
        <w:t>，并由基金托管人复核，依据相关规定进行公告。基金收益分配方案公告后(依据具体方案的规定)，基金管理人就支付的现金红利向基金托管人发送划款指令，基金托管人按照基金管理人的指令及时进行分红资金的划付。</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（三）实施侧袋机制期间的收益分配</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本基金实施侧袋机制的，侧袋账户不进行收益分配，详见招募说明书的规定。</w:t>
      </w:r>
    </w:p>
    <w:p>
      <w:pPr>
        <w:adjustRightInd w:val="0"/>
        <w:snapToGrid w:val="0"/>
        <w:spacing w:line="360" w:lineRule="auto"/>
        <w:rPr>
          <w:rFonts w:ascii="宋体" w:hAnsi="宋体" w:cs="Arial"/>
          <w:sz w:val="24"/>
        </w:rPr>
        <w:sectPr>
          <w:footerReference r:id="rId15"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87" w:name="_Toc124325894"/>
      <w:r>
        <w:rPr>
          <w:rFonts w:hint="eastAsia" w:ascii="宋体" w:hAnsi="宋体" w:eastAsia="宋体"/>
          <w:sz w:val="30"/>
        </w:rPr>
        <w:t>十、基金信息披露</w:t>
      </w:r>
      <w:bookmarkEnd w:id="87"/>
    </w:p>
    <w:p>
      <w:pPr>
        <w:adjustRightInd w:val="0"/>
        <w:snapToGrid w:val="0"/>
        <w:spacing w:line="360" w:lineRule="auto"/>
        <w:ind w:firstLine="480" w:firstLineChars="200"/>
        <w:rPr>
          <w:rFonts w:ascii="宋体" w:hAnsi="宋体" w:cs="Arial"/>
          <w:sz w:val="24"/>
        </w:rPr>
      </w:pPr>
      <w:r>
        <w:rPr>
          <w:rFonts w:hint="eastAsia" w:ascii="宋体" w:hAnsi="宋体" w:cs="Arial"/>
          <w:sz w:val="24"/>
        </w:rPr>
        <w:t>（一）保密义务</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基金托管人和基金管理人应按法律法规、《基金合同》的有关规定进行信息披露，拟公开披露的信息在公开披露之前应予保密。除按《基金法》、《基金合同》、《</w:t>
      </w:r>
      <w:r>
        <w:rPr>
          <w:rFonts w:hint="eastAsia"/>
          <w:bCs/>
          <w:sz w:val="24"/>
        </w:rPr>
        <w:t>公开募集</w:t>
      </w:r>
      <w:r>
        <w:rPr>
          <w:bCs/>
          <w:sz w:val="24"/>
        </w:rPr>
        <w:t>证券投资基金信息披露管理办法</w:t>
      </w:r>
      <w:r>
        <w:rPr>
          <w:rFonts w:hint="eastAsia" w:ascii="宋体" w:hAnsi="宋体" w:cs="Arial"/>
          <w:sz w:val="24"/>
        </w:rPr>
        <w:t>》、《公开募集开放式证券投资基金流动性风险管理规定》及其他有关规定进行信息披露外，基金管理人和基金托管人对基金运作中产生的信息以及从对方获得的业务信息应予保密。但是，如下情况不应视为基金管理人或基金托管人违反保密义务：</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1.非因基金管理人和基金托管人的原因导致保密信息被披露、泄露或公开；</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2.基金管理人和基金托管人为遵守和服从法院判决或裁定、仲裁裁决或中国证监会等监管机构的命令、决定所做出的信息披露或公开。</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（二）信息披露的内容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w:t>
      </w:r>
      <w:r>
        <w:rPr>
          <w:rFonts w:hint="eastAsia"/>
          <w:bCs/>
          <w:sz w:val="24"/>
        </w:rPr>
        <w:t>（含资产组合季度报告）</w:t>
      </w:r>
      <w:r>
        <w:rPr>
          <w:rFonts w:hint="eastAsia" w:ascii="宋体" w:hAnsi="宋体" w:cs="Arial"/>
          <w:sz w:val="24"/>
        </w:rPr>
        <w:t>）、临时报告、澄清公告、清算报告、基金份额持有人大会决议、</w:t>
      </w:r>
      <w:r>
        <w:rPr>
          <w:rFonts w:hint="eastAsia" w:cs="宋体"/>
          <w:sz w:val="24"/>
        </w:rPr>
        <w:t>参与股指期货、国债期货交易、投资股票期权的信息披露、投资资产支持证券的信息披露、投资非公开发行股票的信息披露、参与融资和转融通证券出借业务的信息披露、</w:t>
      </w:r>
      <w:r>
        <w:rPr>
          <w:rFonts w:hint="eastAsia" w:ascii="宋体" w:hAnsi="宋体" w:cs="Arial"/>
          <w:bCs/>
          <w:sz w:val="24"/>
        </w:rPr>
        <w:t>实施侧袋机制期间的信息披露、</w:t>
      </w:r>
      <w:r>
        <w:rPr>
          <w:rFonts w:hint="eastAsia" w:cs="宋体"/>
          <w:sz w:val="24"/>
        </w:rPr>
        <w:t>发起资金认购份额报告、</w:t>
      </w:r>
      <w:r>
        <w:rPr>
          <w:rFonts w:hint="eastAsia" w:ascii="宋体" w:hAnsi="宋体" w:cs="Arial"/>
          <w:sz w:val="24"/>
        </w:rPr>
        <w:t>中国证监会规定的其他信息。基金年度报告中的财务会计报告需经</w:t>
      </w:r>
      <w:r>
        <w:rPr>
          <w:rFonts w:hint="eastAsia"/>
          <w:bCs/>
          <w:sz w:val="24"/>
        </w:rPr>
        <w:t>符合《中华人民共和国证券法》规定</w:t>
      </w:r>
      <w:r>
        <w:rPr>
          <w:rFonts w:hint="eastAsia" w:ascii="宋体" w:hAnsi="宋体" w:cs="Arial"/>
          <w:sz w:val="24"/>
        </w:rPr>
        <w:t>的会计师事务所审计后，方可披露。</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（三）基金托管人和基金管理人在信息披露中的职责和信息披露程序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1.职责</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有关规定的应由基金托管人复核的事项进行复核，基金托管人复核无误后，由基金管理人予以公布。</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对于不需要基金托管人复核的信息，基金管理人在公告前应告知基金托管人。</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基金管理人和基金托管人应积极配合、互相监督，保证其履行按照法定方式和限时披露的义务。</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基金管理人应当在中国证监会规定的时间内，将应予披露的基金信息通过规定媒介披露。根据法律法规应由基金托管人公开披露的信息，基金托管人将通过规定媒介公开披露。</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当出现下述情况时，基金管理人和基金托管人可暂停或延迟披露基金相关信息：</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（1）不可抗力；</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hint="eastAsia" w:cs="宋体"/>
          <w:sz w:val="24"/>
        </w:rPr>
        <w:t>发生基金合同约定的暂停估值的情形</w:t>
      </w:r>
      <w:r>
        <w:rPr>
          <w:rFonts w:hint="eastAsia" w:ascii="宋体" w:hAnsi="宋体" w:cs="Arial"/>
          <w:sz w:val="24"/>
        </w:rPr>
        <w:t>；</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（3）法律法规规定、中国证监会或基金合同认定的其他情形。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2.程序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按有关规定须经基金托管人复核的信息披露文件，由基金管理人起草、并经基金托管人复核后由基金管理人公告。发生《基金合同》中规定需要披露的事项时，按《基金合同》规定公布。</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3.信息文本的存放</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予以披露的信息文本，</w:t>
      </w:r>
      <w:r>
        <w:rPr>
          <w:rFonts w:hint="eastAsia"/>
          <w:sz w:val="24"/>
        </w:rPr>
        <w:t>基金管理人</w:t>
      </w:r>
      <w:r>
        <w:rPr>
          <w:rFonts w:hint="eastAsia"/>
          <w:bCs/>
          <w:sz w:val="24"/>
        </w:rPr>
        <w:t>、</w:t>
      </w:r>
      <w:r>
        <w:rPr>
          <w:rFonts w:hint="eastAsia"/>
          <w:sz w:val="24"/>
        </w:rPr>
        <w:t>基金托管人</w:t>
      </w:r>
      <w:r>
        <w:rPr>
          <w:rFonts w:hint="eastAsia"/>
          <w:bCs/>
          <w:sz w:val="24"/>
        </w:rPr>
        <w:t>应当按照相关法律法规规定将信息置备于各自住所，</w:t>
      </w:r>
      <w:r>
        <w:rPr>
          <w:rFonts w:hint="eastAsia" w:ascii="宋体" w:hAnsi="宋体" w:cs="Arial"/>
          <w:sz w:val="24"/>
        </w:rPr>
        <w:t>投资者可以免费查阅。在支付工本费后可在合理时间获得上述文件的复制件或复印件。基金管理人和基金托管人应保证文本的内容与所公告的内容完全一致。</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（四）实施侧袋机制期间的信息披露</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本基金实施侧袋机制的，相关信息披露义务人应当根据法律法规、基金合同和招募说明书的规定进行信息披露，详见招募说明书的规定。</w:t>
      </w:r>
    </w:p>
    <w:p>
      <w:pPr>
        <w:pStyle w:val="4"/>
        <w:spacing w:line="360" w:lineRule="auto"/>
        <w:ind w:firstLine="0" w:firstLineChars="0"/>
        <w:rPr>
          <w:rFonts w:ascii="宋体" w:hAnsi="宋体" w:cs="Arial"/>
          <w:sz w:val="24"/>
        </w:rPr>
        <w:sectPr>
          <w:footerReference r:id="rId16"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88" w:name="_Toc124325895"/>
      <w:r>
        <w:rPr>
          <w:rFonts w:hint="eastAsia" w:ascii="宋体" w:hAnsi="宋体" w:eastAsia="宋体"/>
          <w:sz w:val="30"/>
        </w:rPr>
        <w:t>十一、基金费用</w:t>
      </w:r>
      <w:bookmarkEnd w:id="88"/>
    </w:p>
    <w:p>
      <w:pPr>
        <w:adjustRightInd w:val="0"/>
        <w:snapToGrid w:val="0"/>
        <w:spacing w:line="360" w:lineRule="auto"/>
        <w:ind w:firstLine="480" w:firstLineChars="200"/>
        <w:rPr>
          <w:rFonts w:ascii="宋体" w:hAnsi="宋体" w:cs="Arial"/>
          <w:sz w:val="24"/>
        </w:rPr>
      </w:pPr>
      <w:r>
        <w:rPr>
          <w:rFonts w:hint="eastAsia" w:ascii="宋体" w:hAnsi="宋体" w:cs="Arial"/>
          <w:sz w:val="24"/>
        </w:rPr>
        <w:t>（一）基金管理费的计提比例和计提方法</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本基金的管理费按前一日基金资产净值的0.2</w:t>
      </w:r>
      <w:r>
        <w:rPr>
          <w:rFonts w:ascii="宋体" w:hAnsi="宋体" w:cs="Arial"/>
          <w:sz w:val="24"/>
        </w:rPr>
        <w:t>0%</w:t>
      </w:r>
      <w:r>
        <w:rPr>
          <w:rFonts w:hint="eastAsia" w:ascii="宋体" w:hAnsi="宋体" w:cs="Arial"/>
          <w:sz w:val="24"/>
        </w:rPr>
        <w:t>年费率计提。管理费的计算方法如下：</w:t>
      </w:r>
    </w:p>
    <w:p>
      <w:pPr>
        <w:adjustRightInd w:val="0"/>
        <w:snapToGrid w:val="0"/>
        <w:spacing w:line="360" w:lineRule="auto"/>
        <w:ind w:firstLine="480" w:firstLineChars="200"/>
        <w:rPr>
          <w:rFonts w:ascii="宋体" w:hAnsi="宋体" w:cs="Arial"/>
          <w:sz w:val="24"/>
        </w:rPr>
      </w:pPr>
      <w:r>
        <w:rPr>
          <w:rFonts w:hint="eastAsia" w:ascii="宋体" w:hAnsi="宋体" w:cs="Arial"/>
          <w:sz w:val="24"/>
        </w:rPr>
        <w:t>H＝E×0.20</w:t>
      </w:r>
      <w:r>
        <w:rPr>
          <w:rFonts w:ascii="宋体" w:hAnsi="宋体" w:cs="Arial"/>
          <w:sz w:val="24"/>
        </w:rPr>
        <w:t>%</w:t>
      </w:r>
      <w:r>
        <w:rPr>
          <w:rFonts w:hint="eastAsia" w:ascii="宋体" w:hAnsi="宋体" w:cs="Arial"/>
          <w:sz w:val="24"/>
        </w:rPr>
        <w:t>÷当年天数</w:t>
      </w:r>
    </w:p>
    <w:p>
      <w:pPr>
        <w:adjustRightInd w:val="0"/>
        <w:snapToGrid w:val="0"/>
        <w:spacing w:line="360" w:lineRule="auto"/>
        <w:ind w:firstLine="480" w:firstLineChars="200"/>
        <w:rPr>
          <w:rFonts w:ascii="宋体" w:hAnsi="宋体" w:cs="Arial"/>
          <w:sz w:val="24"/>
        </w:rPr>
      </w:pPr>
      <w:r>
        <w:rPr>
          <w:rFonts w:hint="eastAsia" w:ascii="宋体" w:hAnsi="宋体" w:cs="Arial"/>
          <w:sz w:val="24"/>
        </w:rPr>
        <w:t>H为每日应计提的基金管理费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E为前一日的基金资产净值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（二）基金托管费的计提比例和计提方法</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本基金的托管费按前一日基金资产净值的0.08</w:t>
      </w:r>
      <w:r>
        <w:rPr>
          <w:rFonts w:ascii="宋体" w:hAnsi="宋体" w:cs="Arial"/>
          <w:sz w:val="24"/>
        </w:rPr>
        <w:t>%</w:t>
      </w:r>
      <w:r>
        <w:rPr>
          <w:rFonts w:hint="eastAsia" w:ascii="宋体" w:hAnsi="宋体" w:cs="Arial"/>
          <w:sz w:val="24"/>
        </w:rPr>
        <w:t>年费率计提。托管费的计算方法如下：</w:t>
      </w:r>
    </w:p>
    <w:p>
      <w:pPr>
        <w:adjustRightInd w:val="0"/>
        <w:snapToGrid w:val="0"/>
        <w:spacing w:line="360" w:lineRule="auto"/>
        <w:ind w:firstLine="480" w:firstLineChars="200"/>
        <w:rPr>
          <w:rFonts w:ascii="宋体" w:hAnsi="宋体" w:cs="Arial"/>
          <w:sz w:val="24"/>
        </w:rPr>
      </w:pPr>
      <w:r>
        <w:rPr>
          <w:rFonts w:hint="eastAsia" w:ascii="宋体" w:hAnsi="宋体" w:cs="Arial"/>
          <w:sz w:val="24"/>
        </w:rPr>
        <w:t>H＝E×0.08</w:t>
      </w:r>
      <w:r>
        <w:rPr>
          <w:rFonts w:ascii="宋体" w:hAnsi="宋体" w:cs="Arial"/>
          <w:sz w:val="24"/>
        </w:rPr>
        <w:t>%</w:t>
      </w:r>
      <w:r>
        <w:rPr>
          <w:rFonts w:hint="eastAsia" w:ascii="宋体" w:hAnsi="宋体" w:cs="Arial"/>
          <w:sz w:val="24"/>
        </w:rPr>
        <w:t>÷当年天数</w:t>
      </w:r>
    </w:p>
    <w:p>
      <w:pPr>
        <w:adjustRightInd w:val="0"/>
        <w:snapToGrid w:val="0"/>
        <w:spacing w:line="360" w:lineRule="auto"/>
        <w:ind w:firstLine="480" w:firstLineChars="200"/>
        <w:rPr>
          <w:rFonts w:ascii="宋体" w:hAnsi="宋体" w:cs="Arial"/>
          <w:sz w:val="24"/>
        </w:rPr>
      </w:pPr>
      <w:r>
        <w:rPr>
          <w:rFonts w:hint="eastAsia" w:ascii="宋体" w:hAnsi="宋体" w:cs="Arial"/>
          <w:sz w:val="24"/>
        </w:rPr>
        <w:t>H为每日应计提的基金托管费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E为前一日的基金资产净值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（三）C类基金份额的销售服务费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本基金A类基金份额不收取销售服务费，C类基金份额的销售服务费按前一日C类基金份额资产净值的</w:t>
      </w:r>
      <w:r>
        <w:rPr>
          <w:rFonts w:ascii="宋体" w:hAnsi="宋体" w:cs="Arial"/>
          <w:sz w:val="24"/>
        </w:rPr>
        <w:t>0.</w:t>
      </w:r>
      <w:r>
        <w:rPr>
          <w:rFonts w:hint="eastAsia" w:ascii="宋体" w:hAnsi="宋体" w:cs="Arial"/>
          <w:sz w:val="24"/>
        </w:rPr>
        <w:t>2</w:t>
      </w:r>
      <w:r>
        <w:rPr>
          <w:rFonts w:ascii="宋体" w:hAnsi="宋体" w:cs="Arial"/>
          <w:sz w:val="24"/>
        </w:rPr>
        <w:t>0%</w:t>
      </w:r>
      <w:r>
        <w:rPr>
          <w:rFonts w:hint="eastAsia" w:ascii="宋体" w:hAnsi="宋体" w:cs="Arial"/>
          <w:sz w:val="24"/>
        </w:rPr>
        <w:t>年费率计提。计算方法如下：</w:t>
      </w:r>
    </w:p>
    <w:p>
      <w:pPr>
        <w:adjustRightInd w:val="0"/>
        <w:snapToGrid w:val="0"/>
        <w:spacing w:line="360" w:lineRule="auto"/>
        <w:ind w:firstLine="480" w:firstLineChars="200"/>
        <w:rPr>
          <w:rFonts w:ascii="宋体" w:hAnsi="宋体" w:cs="Arial"/>
          <w:sz w:val="24"/>
        </w:rPr>
      </w:pPr>
      <w:r>
        <w:rPr>
          <w:rFonts w:hint="eastAsia" w:ascii="宋体" w:hAnsi="宋体" w:cs="Arial"/>
          <w:sz w:val="24"/>
        </w:rPr>
        <w:t>H＝E×</w:t>
      </w:r>
      <w:r>
        <w:rPr>
          <w:rFonts w:ascii="宋体" w:hAnsi="宋体" w:cs="Arial"/>
          <w:sz w:val="24"/>
        </w:rPr>
        <w:t>0.</w:t>
      </w:r>
      <w:r>
        <w:rPr>
          <w:rFonts w:hint="eastAsia" w:ascii="宋体" w:hAnsi="宋体" w:cs="Arial"/>
          <w:sz w:val="24"/>
        </w:rPr>
        <w:t>2</w:t>
      </w:r>
      <w:r>
        <w:rPr>
          <w:rFonts w:ascii="宋体" w:hAnsi="宋体" w:cs="Arial"/>
          <w:sz w:val="24"/>
        </w:rPr>
        <w:t>0%</w:t>
      </w:r>
      <w:r>
        <w:rPr>
          <w:rFonts w:hint="eastAsia" w:ascii="宋体" w:hAnsi="宋体" w:cs="Arial"/>
          <w:sz w:val="24"/>
        </w:rPr>
        <w:t>÷当年天数</w:t>
      </w:r>
    </w:p>
    <w:p>
      <w:pPr>
        <w:adjustRightInd w:val="0"/>
        <w:snapToGrid w:val="0"/>
        <w:spacing w:line="360" w:lineRule="auto"/>
        <w:ind w:firstLine="480" w:firstLineChars="200"/>
        <w:rPr>
          <w:rFonts w:ascii="宋体" w:hAnsi="宋体" w:cs="Arial"/>
          <w:sz w:val="24"/>
        </w:rPr>
      </w:pPr>
      <w:r>
        <w:rPr>
          <w:rFonts w:hint="eastAsia" w:ascii="宋体" w:hAnsi="宋体" w:cs="Arial"/>
          <w:sz w:val="24"/>
        </w:rPr>
        <w:t>H为C类基金份额每日应计提的销售服务费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E为C类基金份额前一日基金资产净值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（四）账户开户费用</w:t>
      </w:r>
      <w:r>
        <w:rPr>
          <w:rFonts w:hint="eastAsia"/>
          <w:bCs/>
          <w:sz w:val="24"/>
        </w:rPr>
        <w:t>、账户维护费用</w:t>
      </w:r>
      <w:r>
        <w:rPr>
          <w:rFonts w:hint="eastAsia" w:ascii="宋体" w:hAnsi="宋体" w:cs="Arial"/>
          <w:sz w:val="24"/>
        </w:rPr>
        <w:t>、证券、期货、股票期权交易费用、基金的银行汇划费用、《基金合同》生效后与基金相关的信息披露费用（但法律法规、中国证监会另有规定的除外）、基金份额持有人大会费用、《基金合同》生效后与基金有关的会计师费、律师费、公证费、诉讼费和仲裁费、</w:t>
      </w:r>
      <w:r>
        <w:rPr>
          <w:rFonts w:hint="eastAsia"/>
          <w:bCs/>
          <w:sz w:val="24"/>
          <w:szCs w:val="20"/>
        </w:rPr>
        <w:t>基金财产投资运营过程中的增值税</w:t>
      </w:r>
      <w:r>
        <w:rPr>
          <w:rFonts w:hint="eastAsia" w:ascii="宋体" w:hAnsi="宋体" w:cs="Arial"/>
          <w:sz w:val="24"/>
        </w:rPr>
        <w:t>等根据有关法律法规、《基金合同》及相应协议的规定，列入当期基金费用。</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（五）不列入基金费用的项目</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《基金合同》生效前的律师费、会计师费和信息披露费用不得从基金财产中列支；基金管理人和基金托管人因未履行或未完全履行义务导致的费用支出或基金财产的损失，</w:t>
      </w:r>
      <w:r>
        <w:rPr>
          <w:rFonts w:hint="eastAsia" w:cs="宋体"/>
          <w:sz w:val="24"/>
        </w:rPr>
        <w:t>指数许可使用费，</w:t>
      </w:r>
      <w:r>
        <w:rPr>
          <w:rFonts w:hint="eastAsia" w:ascii="宋体" w:hAnsi="宋体" w:cs="Arial"/>
          <w:sz w:val="24"/>
        </w:rPr>
        <w:t>处理与基金运作无关的事项发生的费用以及其他根据相关法律法规及中国证监会的有关规定不得列入基金费用的项目等不列入基金费用。</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（六）基金管理费、基金托管费、C类基金份额的销售服务费的复核程序、支付方式和时间</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1.复核程序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基金托管人对基金管理人计提的基金管理费、基金托管费、C类基金份额的销售服务费等，根据本托管协议和《基金合同》的有关规定进行复核。</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2.支付方式和时间</w:t>
      </w:r>
    </w:p>
    <w:p>
      <w:pPr>
        <w:spacing w:line="360" w:lineRule="auto"/>
        <w:ind w:firstLine="480"/>
        <w:rPr>
          <w:bCs/>
          <w:sz w:val="24"/>
          <w:szCs w:val="20"/>
        </w:rPr>
      </w:pPr>
      <w:r>
        <w:rPr>
          <w:rFonts w:hint="eastAsia" w:ascii="宋体" w:hAnsi="宋体" w:cs="Arial"/>
          <w:sz w:val="24"/>
        </w:rPr>
        <w:t>基金管理费、基金托管费、基金销售服务费每日计提，</w:t>
      </w:r>
      <w:r>
        <w:rPr>
          <w:rFonts w:hint="eastAsia"/>
          <w:bCs/>
          <w:sz w:val="24"/>
        </w:rPr>
        <w:t>逐日累计至每月月末，</w:t>
      </w:r>
      <w:r>
        <w:rPr>
          <w:rFonts w:hint="eastAsia" w:ascii="宋体" w:hAnsi="宋体" w:cs="Arial"/>
          <w:sz w:val="24"/>
        </w:rPr>
        <w:t>按月支付。由基金托管人根据与基金管理人核对一致的财务数据，</w:t>
      </w:r>
      <w:r>
        <w:rPr>
          <w:rFonts w:hint="eastAsia"/>
          <w:bCs/>
          <w:sz w:val="24"/>
        </w:rPr>
        <w:t>按照基金托管人与基金管理人协商一致的方式在月初5个工作日内、按照指定的账户路径进行资金支付</w:t>
      </w:r>
      <w:r>
        <w:rPr>
          <w:rFonts w:hint="eastAsia" w:ascii="宋体" w:hAnsi="宋体" w:cs="Arial"/>
          <w:sz w:val="24"/>
        </w:rPr>
        <w:t>。</w:t>
      </w:r>
      <w:r>
        <w:rPr>
          <w:rFonts w:hint="eastAsia"/>
          <w:bCs/>
          <w:sz w:val="24"/>
        </w:rPr>
        <w:t>若遇法定节假日、公休日或不可抗力等致使无法按时支付的，支付日期顺延。</w:t>
      </w:r>
    </w:p>
    <w:p>
      <w:pPr>
        <w:adjustRightInd w:val="0"/>
        <w:snapToGrid w:val="0"/>
        <w:spacing w:line="360" w:lineRule="auto"/>
        <w:ind w:firstLine="480" w:firstLineChars="200"/>
        <w:rPr>
          <w:rFonts w:ascii="宋体" w:hAnsi="宋体" w:cs="Arial"/>
          <w:sz w:val="24"/>
        </w:rPr>
      </w:pPr>
      <w:r>
        <w:rPr>
          <w:rFonts w:hint="eastAsia" w:ascii="宋体" w:hAnsi="宋体" w:cs="Arial"/>
          <w:sz w:val="24"/>
        </w:rPr>
        <w:t>费用自动扣划后，基金管理人应进行核对，如发现数据不符，及时联系基金托管人协商解决。</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在首期支付基金管理费、基金销售服务费前，基金管理人应向基金托管人出具正式函件指定基金管理费、基金销售服务费的收款账户。基金管理人如需要变更此账户，应提前</w:t>
      </w:r>
      <w:r>
        <w:rPr>
          <w:rFonts w:ascii="宋体" w:hAnsi="宋体" w:cs="Arial"/>
          <w:sz w:val="24"/>
        </w:rPr>
        <w:t>5个工作日</w:t>
      </w:r>
      <w:r>
        <w:rPr>
          <w:rFonts w:hint="eastAsia" w:ascii="宋体" w:hAnsi="宋体" w:cs="Arial"/>
          <w:sz w:val="24"/>
        </w:rPr>
        <w:t>向基金托管人出具书面的收款账户变更通知。</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（七）违规处理方式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（八）实施侧袋机制期间的基金费用</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本基金实施侧袋机制的，与侧袋账户有关的费用可以从侧袋账户中列支，但应待侧袋账户资产变现后方可列支，有关费用可酌情收取或减免，但不得收取管理费，详见招募说明书的规定。</w:t>
      </w:r>
    </w:p>
    <w:p>
      <w:pPr>
        <w:adjustRightInd w:val="0"/>
        <w:snapToGrid w:val="0"/>
        <w:spacing w:line="360" w:lineRule="auto"/>
        <w:rPr>
          <w:rFonts w:ascii="宋体" w:hAnsi="宋体" w:cs="Arial"/>
          <w:sz w:val="24"/>
        </w:rPr>
        <w:sectPr>
          <w:footerReference r:id="rId17"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89" w:name="_Toc124325896"/>
      <w:r>
        <w:rPr>
          <w:rFonts w:hint="eastAsia" w:ascii="宋体" w:hAnsi="宋体" w:eastAsia="宋体"/>
          <w:sz w:val="30"/>
        </w:rPr>
        <w:t>十二、基金份额持有人名册的保管</w:t>
      </w:r>
      <w:bookmarkEnd w:id="89"/>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20年，法律法规或监管部门另有规定的除外。如不能妥善保管，则按相关法律法规承担责任。</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在基金托管人要求或编制中期报告和年度报告前，基金管理人应将有关资料送交基金托管人，不得无故拒绝或延误提供，并保证其真实性、准确性和完整性。</w:t>
      </w:r>
      <w:r>
        <w:rPr>
          <w:rFonts w:hint="eastAsia" w:ascii="宋体" w:hAnsi="宋体"/>
          <w:kern w:val="0"/>
          <w:sz w:val="24"/>
        </w:rPr>
        <w:t>基金托管人不得将所保管的基金份额持有人名册用于基金托管业务以外的其他用途，并应遵守保密义务。</w:t>
      </w:r>
    </w:p>
    <w:p>
      <w:pPr>
        <w:adjustRightInd w:val="0"/>
        <w:snapToGrid w:val="0"/>
        <w:spacing w:line="360" w:lineRule="auto"/>
        <w:rPr>
          <w:rFonts w:ascii="宋体" w:hAnsi="宋体" w:cs="Arial"/>
          <w:sz w:val="24"/>
        </w:rPr>
        <w:sectPr>
          <w:footerReference r:id="rId18"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90" w:name="_Toc124325897"/>
      <w:r>
        <w:rPr>
          <w:rFonts w:hint="eastAsia" w:ascii="宋体" w:hAnsi="宋体" w:eastAsia="宋体"/>
          <w:sz w:val="30"/>
        </w:rPr>
        <w:t>十三、基金有关文件档案的保存</w:t>
      </w:r>
      <w:bookmarkEnd w:id="90"/>
    </w:p>
    <w:p>
      <w:pPr>
        <w:adjustRightInd w:val="0"/>
        <w:snapToGrid w:val="0"/>
        <w:spacing w:line="360" w:lineRule="auto"/>
        <w:ind w:firstLine="480" w:firstLineChars="200"/>
        <w:rPr>
          <w:rFonts w:ascii="宋体" w:hAnsi="宋体" w:cs="Arial"/>
          <w:sz w:val="24"/>
        </w:rPr>
      </w:pPr>
      <w:r>
        <w:rPr>
          <w:rFonts w:hint="eastAsia" w:ascii="宋体" w:hAnsi="宋体" w:cs="Arial"/>
          <w:sz w:val="24"/>
        </w:rPr>
        <w:t>（一）档案保存</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宋体" w:hAnsi="宋体" w:cs="Arial"/>
          <w:sz w:val="24"/>
        </w:rPr>
        <w:t>20</w:t>
      </w:r>
      <w:r>
        <w:rPr>
          <w:rFonts w:hint="eastAsia" w:ascii="宋体" w:hAnsi="宋体" w:cs="Arial"/>
          <w:sz w:val="24"/>
        </w:rPr>
        <w:t>年，法律法规或监管部门另有规定的除外。</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（二）合同档案的建立</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1.基金管理人签署重大合同文本后，应及时将合同文本正本送达基金托管人处。</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2.基金管理人应及时将与本基金账务处理、资金划拨等有关的合同、协议传真至基金托管人。</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（三）变更与协助</w:t>
      </w:r>
    </w:p>
    <w:p>
      <w:pPr>
        <w:adjustRightInd w:val="0"/>
        <w:snapToGrid w:val="0"/>
        <w:spacing w:line="360" w:lineRule="auto"/>
        <w:ind w:firstLine="480" w:firstLineChars="200"/>
        <w:rPr>
          <w:rFonts w:ascii="宋体" w:hAnsi="宋体" w:cs="Arial"/>
          <w:sz w:val="24"/>
        </w:rPr>
      </w:pPr>
      <w:r>
        <w:rPr>
          <w:rFonts w:hint="eastAsia" w:ascii="宋体" w:hAnsi="宋体" w:cs="Arial"/>
          <w:sz w:val="24"/>
        </w:rPr>
        <w:t>若基金管理人/基金托管人发生变更，未变更的一方有义务协助变更后的接任人接收相应文件。</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（四）基金管理人和基金托管人应按各自职责完整保存原始凭证、记账凭证、基金账册、交易记录和重要合同等，承担保密义务并保存至少2</w:t>
      </w:r>
      <w:r>
        <w:rPr>
          <w:rFonts w:ascii="宋体" w:hAnsi="宋体" w:cs="Arial"/>
          <w:sz w:val="24"/>
        </w:rPr>
        <w:t>0</w:t>
      </w:r>
      <w:r>
        <w:rPr>
          <w:rFonts w:hint="eastAsia" w:ascii="宋体" w:hAnsi="宋体" w:cs="Arial"/>
          <w:sz w:val="24"/>
        </w:rPr>
        <w:t>年，法律法规或监管部门另有规定的除外。</w:t>
      </w:r>
    </w:p>
    <w:p>
      <w:pPr>
        <w:adjustRightInd w:val="0"/>
        <w:snapToGrid w:val="0"/>
        <w:spacing w:line="360" w:lineRule="auto"/>
        <w:rPr>
          <w:rFonts w:ascii="宋体" w:hAnsi="宋体"/>
          <w:sz w:val="30"/>
          <w:szCs w:val="30"/>
        </w:rPr>
        <w:sectPr>
          <w:footerReference r:id="rId19"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91" w:name="_Toc124325898"/>
      <w:r>
        <w:rPr>
          <w:rFonts w:hint="eastAsia" w:ascii="宋体" w:hAnsi="宋体" w:eastAsia="宋体"/>
          <w:sz w:val="30"/>
        </w:rPr>
        <w:t>十四、基金管理人和基金托管人的更换</w:t>
      </w:r>
      <w:bookmarkEnd w:id="91"/>
    </w:p>
    <w:p>
      <w:pPr>
        <w:adjustRightInd w:val="0"/>
        <w:snapToGrid w:val="0"/>
        <w:spacing w:line="360" w:lineRule="auto"/>
        <w:ind w:firstLine="480" w:firstLineChars="200"/>
        <w:rPr>
          <w:rFonts w:ascii="宋体" w:hAnsi="宋体" w:cs="Arial"/>
          <w:sz w:val="24"/>
        </w:rPr>
      </w:pPr>
      <w:r>
        <w:rPr>
          <w:rFonts w:hint="eastAsia" w:ascii="宋体" w:hAnsi="宋体" w:cs="Arial"/>
          <w:sz w:val="24"/>
        </w:rPr>
        <w:t>（一）基金管理人职责终止的情形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1.基金管理人职责终止的情形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有下列情形之一的，基金管理人职责终止：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(1)被依法取消基金管理资格；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(2)依法解散、被依法撤销或被依法宣告破产；</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(3)被基金份额持有人大会解任；</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(4)法律法规及中国证监会规定的和《基金合同》约定的其他情形。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2.基金管理人的更换程序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更换基金管理人必须依照如下程序进行：</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(1)提名：新任基金管理人由基金托管人</w:t>
      </w:r>
      <w:r>
        <w:rPr>
          <w:rFonts w:hint="eastAsia" w:ascii="宋体" w:hAnsi="宋体"/>
          <w:sz w:val="24"/>
        </w:rPr>
        <w:t>或由单独或合计持有10%以上(含10%)基金份额的基金份额持有人</w:t>
      </w:r>
      <w:r>
        <w:rPr>
          <w:rFonts w:hint="eastAsia" w:ascii="宋体" w:hAnsi="宋体" w:cs="Arial"/>
          <w:sz w:val="24"/>
        </w:rPr>
        <w:t>提名；</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r>
        <w:rPr>
          <w:rFonts w:hint="eastAsia" w:ascii="宋体" w:hAnsi="宋体" w:cs="Arial"/>
          <w:bCs/>
          <w:sz w:val="24"/>
        </w:rPr>
        <w:t>，决议自表决通过之日起生效</w:t>
      </w:r>
      <w:r>
        <w:rPr>
          <w:rFonts w:hint="eastAsia" w:ascii="宋体" w:hAnsi="宋体" w:cs="Arial"/>
          <w:sz w:val="24"/>
        </w:rPr>
        <w:t>；</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(3)临时基金管理人：新任基金管理人产生之前，由中国证监会指定临时基金管理人；</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(4)备案：基金份额持有人大会更换基金管理人的决议须报中国证监会备案；</w:t>
      </w:r>
    </w:p>
    <w:p>
      <w:pPr>
        <w:adjustRightInd w:val="0"/>
        <w:snapToGrid w:val="0"/>
        <w:spacing w:line="360" w:lineRule="auto"/>
        <w:ind w:firstLine="480" w:firstLineChars="200"/>
        <w:rPr>
          <w:rFonts w:ascii="宋体" w:hAnsi="宋体" w:cs="Arial"/>
          <w:sz w:val="24"/>
        </w:rPr>
      </w:pPr>
      <w:r>
        <w:rPr>
          <w:rFonts w:hint="eastAsia" w:ascii="宋体" w:hAnsi="宋体" w:cs="Arial"/>
          <w:sz w:val="24"/>
        </w:rPr>
        <w:t>(5)公告：基金管理人更换后，由基金托管人在更换基金管理人的基金份额持有人大会决议生效后按规定在规定媒介公告；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(7)审计：基金管理人职责终止的，应当按照法律法规规定聘请符合《中华人民共和国证券法》规定的会计师事务所对基金财产进行审计，并将审计结果予以公告，同时报中国证监会备案，审计费用在基金财产中列支；</w:t>
      </w:r>
    </w:p>
    <w:p>
      <w:pPr>
        <w:adjustRightInd w:val="0"/>
        <w:snapToGrid w:val="0"/>
        <w:spacing w:line="360" w:lineRule="auto"/>
        <w:ind w:firstLine="480" w:firstLineChars="200"/>
        <w:rPr>
          <w:rFonts w:ascii="宋体" w:hAnsi="宋体"/>
          <w:sz w:val="30"/>
          <w:szCs w:val="30"/>
        </w:rPr>
      </w:pPr>
      <w:r>
        <w:rPr>
          <w:rFonts w:hint="eastAsia" w:ascii="宋体" w:hAnsi="宋体" w:cs="Arial"/>
          <w:sz w:val="24"/>
        </w:rPr>
        <w:t>(8)基金名称变更：基金管理人更换后，如果原任或新任基金管理人要求，应按其要求替换或删除基金名称中与原基金管理人有关的名称字样。</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（二）基金托管人职责终止的情形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1.基金托管人职责终止的情形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有下列情形之一的，基金托管人职责终止：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(1)被依法取消基金托管资格；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(2)依法解散、被依法撤销或被依法宣告破产；</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(3)被基金份额持有人大会解任；</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(4)法律法规及中国证监会规定的和《基金合同》约定的其他情形。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2.基金托管人的更换程序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(1)提名：新任基金托管人由基金管理人</w:t>
      </w:r>
      <w:r>
        <w:rPr>
          <w:rFonts w:hint="eastAsia" w:ascii="宋体" w:hAnsi="宋体"/>
          <w:sz w:val="24"/>
        </w:rPr>
        <w:t>或由单独或合计持有10%以上(含10%)基金份额的基金份额持有人</w:t>
      </w:r>
      <w:r>
        <w:rPr>
          <w:rFonts w:hint="eastAsia" w:ascii="宋体" w:hAnsi="宋体" w:cs="Arial"/>
          <w:sz w:val="24"/>
        </w:rPr>
        <w:t>提名；</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r>
        <w:rPr>
          <w:rFonts w:hint="eastAsia" w:ascii="宋体" w:hAnsi="宋体" w:cs="Arial"/>
          <w:bCs/>
          <w:sz w:val="24"/>
        </w:rPr>
        <w:t>，决议自表决通过之日起生效</w:t>
      </w:r>
      <w:r>
        <w:rPr>
          <w:rFonts w:hint="eastAsia" w:ascii="宋体" w:hAnsi="宋体" w:cs="Arial"/>
          <w:sz w:val="24"/>
        </w:rPr>
        <w:t>；</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(3)临时基金托管人：新任基金托管人产生之前，由中国证监会指定临时基金托管人；</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(4)备案：基金份额持有人大会更换基金托管人的决议须报中国证监会备案；</w:t>
      </w:r>
    </w:p>
    <w:p>
      <w:pPr>
        <w:adjustRightInd w:val="0"/>
        <w:snapToGrid w:val="0"/>
        <w:spacing w:line="360" w:lineRule="auto"/>
        <w:ind w:firstLine="480" w:firstLineChars="200"/>
        <w:rPr>
          <w:rFonts w:ascii="宋体" w:hAnsi="宋体" w:cs="Arial"/>
          <w:sz w:val="24"/>
        </w:rPr>
      </w:pPr>
      <w:r>
        <w:rPr>
          <w:rFonts w:hint="eastAsia" w:ascii="宋体" w:hAnsi="宋体" w:cs="Arial"/>
          <w:sz w:val="24"/>
        </w:rPr>
        <w:t>(5)公告：基金托管人更换后，由基金管理人在更换基金托管人的基金份额持有人大会决议生效后按规定在规定媒介公告；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(7)审计：基金托管人职责终止的，应当按照法律法规规定聘请符合《中华人民共和国证券法》规定的会计师事务所对基金财产进行审计，并将审计结果予以公告，同时报中国证监会备案，审计费用在基金财产中列支。</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（三）基金管理人与基金托管人同时更换的条件和程序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1.提名：如果基金管理人和基金托管人同时更换，由单独或合计持有基金总份额10%以上(含10%)的基金份额持有人提名新的基金管理人和基金托管人；</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2.基金管理人和基金托管人的更换分别按上述程序进行；</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3.公告：新任基金管理人和新任基金托管人应在更换基金管理人和基金托管人的基金份额持有人大会决议生效后按规定在规定媒介上联合公告。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pPr>
        <w:adjustRightInd w:val="0"/>
        <w:snapToGrid w:val="0"/>
        <w:spacing w:line="360" w:lineRule="auto"/>
        <w:rPr>
          <w:rFonts w:ascii="宋体" w:hAnsi="宋体" w:cs="Arial"/>
          <w:sz w:val="24"/>
        </w:rPr>
        <w:sectPr>
          <w:footerReference r:id="rId20"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92" w:name="_Toc124325899"/>
      <w:r>
        <w:rPr>
          <w:rFonts w:hint="eastAsia" w:ascii="宋体" w:hAnsi="宋体" w:eastAsia="宋体"/>
          <w:sz w:val="30"/>
        </w:rPr>
        <w:t>十五、禁止行为</w:t>
      </w:r>
      <w:bookmarkEnd w:id="92"/>
    </w:p>
    <w:p>
      <w:pPr>
        <w:adjustRightInd w:val="0"/>
        <w:snapToGrid w:val="0"/>
        <w:spacing w:line="360" w:lineRule="auto"/>
        <w:ind w:firstLine="480" w:firstLineChars="200"/>
        <w:rPr>
          <w:rFonts w:ascii="宋体" w:hAnsi="宋体" w:cs="Arial"/>
          <w:sz w:val="24"/>
        </w:rPr>
      </w:pPr>
      <w:r>
        <w:rPr>
          <w:rFonts w:hint="eastAsia" w:ascii="宋体" w:hAnsi="宋体" w:cs="Arial"/>
          <w:sz w:val="24"/>
        </w:rPr>
        <w:t>本协议当事人禁止从事的行为，包括但不限于：</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（一）基金管理人、基金托管人将其固有财产或者他人财产混同于基金财产从事证券投资。</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（二）基金管理人不公平地对待其管理的不同基金财产，基金托管人不公平地对待其托管的不同基金财产。</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（三）基金管理人、基金托管人利用基金财产或职务之便为基金份额持有人以外的第三人牟取利益。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（四）基金管理人、基金托管人向基金份额持有人违规承诺收益或者承担损失。</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（五）基金管理人、基金托管人对他人泄露基金运作和管理过程中任何尚未按法律法规规定的方式公开披露的信息。</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（六）基金管理人在没有充足资金的情况下向基金托管人发出投资指令和赎回、分红资金的划拨指令，或违规向基金托管人发出指令。</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（七）基金管理人、基金托管人在行政上、财务上不独立，其高级管理人员和其他从业人员相互兼职。</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（八）基金托管人私自动用或处分基金财产，根据基金管理人的合法指令、《基金合同》或托管协议的规定进行处分的除外。</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或变更上述限制，如适用于本基金，基金管理人在履行适当程序后，则本基金投资不再受相关限制或按变更后的规定执行。</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（十）法律法规和《基金合同》禁止的其他行为，以及依照法律、行政法规有关规定，由中国证监会规定禁止基金管理人、基金托管人从事的其他行为。</w:t>
      </w:r>
    </w:p>
    <w:p>
      <w:pPr>
        <w:adjustRightInd w:val="0"/>
        <w:snapToGrid w:val="0"/>
        <w:spacing w:line="360" w:lineRule="auto"/>
        <w:rPr>
          <w:rFonts w:ascii="宋体" w:hAnsi="宋体"/>
          <w:sz w:val="30"/>
          <w:szCs w:val="30"/>
        </w:rPr>
        <w:sectPr>
          <w:footerReference r:id="rId21"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93" w:name="_Toc124325900"/>
      <w:r>
        <w:rPr>
          <w:rFonts w:hint="eastAsia" w:ascii="宋体" w:hAnsi="宋体" w:eastAsia="宋体"/>
          <w:sz w:val="30"/>
        </w:rPr>
        <w:t>十六、托管协议的变更、终止与基金财产的清算</w:t>
      </w:r>
      <w:bookmarkEnd w:id="93"/>
    </w:p>
    <w:p>
      <w:pPr>
        <w:adjustRightInd w:val="0"/>
        <w:snapToGrid w:val="0"/>
        <w:spacing w:line="360" w:lineRule="auto"/>
        <w:ind w:firstLine="480" w:firstLineChars="200"/>
        <w:rPr>
          <w:rFonts w:ascii="宋体" w:hAnsi="宋体" w:cs="Arial"/>
          <w:sz w:val="24"/>
        </w:rPr>
      </w:pPr>
      <w:r>
        <w:rPr>
          <w:rFonts w:hint="eastAsia" w:ascii="宋体" w:hAnsi="宋体" w:cs="Arial"/>
          <w:sz w:val="24"/>
        </w:rPr>
        <w:t>（一）托管协议的变更程序</w:t>
      </w:r>
    </w:p>
    <w:p>
      <w:pPr>
        <w:adjustRightInd w:val="0"/>
        <w:snapToGrid w:val="0"/>
        <w:spacing w:line="360" w:lineRule="auto"/>
        <w:ind w:firstLine="480" w:firstLineChars="200"/>
        <w:rPr>
          <w:rFonts w:ascii="宋体" w:hAnsi="宋体"/>
          <w:sz w:val="30"/>
          <w:szCs w:val="30"/>
        </w:rPr>
      </w:pPr>
      <w:r>
        <w:rPr>
          <w:rFonts w:hint="eastAsia" w:ascii="宋体" w:hAnsi="宋体" w:cs="Arial"/>
          <w:sz w:val="24"/>
        </w:rPr>
        <w:t>本协议双方当事人经协商一致并履行适当程序后，可以对协议进行修改。修改后的新协议，其内容不得与《基金合同》的规定有任何冲突。</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（二）托管协议终止的情形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1.《基金合同》终止；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2.基金托管人解散、依法被撤销、破产或由其他基金托管人接管基金资产；</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3.基金管理人解散、依法被撤销、破产或由其他基金管理人接管基金管理权；</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4.发生法律法规或《基金合同》规定的终止事项。</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（三）基金财产的清算</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1.基金财产清算小组：自出现《基金合同》终止事由之日起30个工作日内成立基金财产清算小组，基金管理人组织基金财产清算小组并在中国证监会的监督下进行基金清算。</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2.在基金财产清算小组接管基金财产之前，基金管理人和基金托管人应按照《基金合同》和托管协议的规定继续履行保护基金财产安全的职责。</w:t>
      </w:r>
    </w:p>
    <w:p>
      <w:pPr>
        <w:adjustRightInd w:val="0"/>
        <w:snapToGrid w:val="0"/>
        <w:spacing w:line="360" w:lineRule="auto"/>
        <w:ind w:firstLine="480" w:firstLineChars="200"/>
        <w:rPr>
          <w:rFonts w:ascii="宋体" w:hAnsi="宋体" w:cs="Arial"/>
          <w:sz w:val="24"/>
        </w:rPr>
      </w:pPr>
      <w:r>
        <w:rPr>
          <w:rFonts w:ascii="宋体" w:hAnsi="宋体" w:cs="Arial"/>
          <w:sz w:val="24"/>
        </w:rPr>
        <w:t>3</w:t>
      </w:r>
      <w:r>
        <w:rPr>
          <w:rFonts w:hint="eastAsia" w:ascii="宋体" w:hAnsi="宋体" w:cs="Arial"/>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rFonts w:ascii="宋体" w:hAnsi="宋体" w:cs="Arial"/>
          <w:sz w:val="24"/>
        </w:rPr>
      </w:pPr>
      <w:r>
        <w:rPr>
          <w:rFonts w:ascii="宋体" w:hAnsi="宋体" w:cs="Arial"/>
          <w:sz w:val="24"/>
        </w:rPr>
        <w:t>4</w:t>
      </w:r>
      <w:r>
        <w:rPr>
          <w:rFonts w:hint="eastAsia" w:ascii="宋体" w:hAnsi="宋体" w:cs="Arial"/>
          <w:sz w:val="24"/>
        </w:rPr>
        <w:t>.基金财产清算小组职责：基金财产清算小组负责基金财产的保管、清理、估价、变现和分配。基金财产清算小组可以依法进行必要的民事活动。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ascii="宋体" w:hAnsi="宋体" w:cs="Arial"/>
          <w:sz w:val="24"/>
        </w:rPr>
      </w:pPr>
      <w:r>
        <w:rPr>
          <w:rFonts w:hint="eastAsia" w:ascii="宋体" w:hAnsi="宋体" w:cs="Arial"/>
          <w:sz w:val="24"/>
        </w:rPr>
        <w:t>5.在基金财产清算过程中，基金管理人和基金托管人应各自履行职责，继续忠实、勤勉、尽责地履行基金合同和托管协议规定的义务，维护基金份额持有人的合法权益。</w:t>
      </w:r>
    </w:p>
    <w:p>
      <w:pPr>
        <w:adjustRightInd w:val="0"/>
        <w:snapToGrid w:val="0"/>
        <w:spacing w:line="360" w:lineRule="auto"/>
        <w:ind w:firstLine="480" w:firstLineChars="200"/>
        <w:rPr>
          <w:rFonts w:ascii="宋体" w:hAnsi="宋体" w:cs="Arial"/>
          <w:sz w:val="24"/>
        </w:rPr>
      </w:pPr>
      <w:r>
        <w:rPr>
          <w:rFonts w:ascii="宋体" w:hAnsi="宋体" w:cs="Arial"/>
          <w:sz w:val="24"/>
        </w:rPr>
        <w:t>6</w:t>
      </w:r>
      <w:r>
        <w:rPr>
          <w:rFonts w:hint="eastAsia" w:ascii="宋体" w:hAnsi="宋体" w:cs="Arial"/>
          <w:sz w:val="24"/>
        </w:rPr>
        <w:t>.基金财产清算程序：</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（1）《基金合同》终止情形出现时，由基金财产清算小组统一接管基金财产；</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（2）对基金财产和债权债务进行清理和确认；</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（3）对基金财产进行估值和变现；</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（4）制作清算报告；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（5）聘请会计师事务所对清算报告进行外部审计，聘请律师事务所对清算报告出具法律意见书；</w:t>
      </w:r>
    </w:p>
    <w:p>
      <w:pPr>
        <w:adjustRightInd w:val="0"/>
        <w:snapToGrid w:val="0"/>
        <w:spacing w:line="360" w:lineRule="auto"/>
        <w:ind w:firstLine="480" w:firstLineChars="200"/>
        <w:rPr>
          <w:rFonts w:ascii="宋体" w:hAnsi="宋体" w:cs="Arial"/>
          <w:sz w:val="24"/>
        </w:rPr>
      </w:pPr>
      <w:r>
        <w:rPr>
          <w:rFonts w:hint="eastAsia" w:ascii="宋体" w:hAnsi="宋体" w:cs="Arial"/>
          <w:sz w:val="24"/>
        </w:rPr>
        <w:t>（6）将清算报告报中国证监会备案并公告；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（7）对基金剩余财产进行分配。</w:t>
      </w:r>
    </w:p>
    <w:p>
      <w:pPr>
        <w:adjustRightInd w:val="0"/>
        <w:snapToGrid w:val="0"/>
        <w:spacing w:line="360" w:lineRule="auto"/>
        <w:ind w:firstLine="480" w:firstLineChars="200"/>
        <w:rPr>
          <w:rFonts w:ascii="宋体" w:hAnsi="宋体" w:cs="Arial"/>
          <w:sz w:val="24"/>
        </w:rPr>
      </w:pPr>
      <w:r>
        <w:rPr>
          <w:rFonts w:ascii="宋体" w:hAnsi="宋体" w:cs="Arial"/>
          <w:sz w:val="24"/>
        </w:rPr>
        <w:t>7</w:t>
      </w:r>
      <w:r>
        <w:rPr>
          <w:rFonts w:hint="eastAsia" w:ascii="宋体" w:hAnsi="宋体" w:cs="Arial"/>
          <w:sz w:val="24"/>
        </w:rPr>
        <w:t>.基金财产清算的期限为6个月，但因本基金所持证券的流动性受到限制而不能及时变现的，清算期限可相应顺延。</w:t>
      </w:r>
    </w:p>
    <w:p>
      <w:pPr>
        <w:adjustRightInd w:val="0"/>
        <w:snapToGrid w:val="0"/>
        <w:spacing w:line="360" w:lineRule="auto"/>
        <w:ind w:firstLine="480" w:firstLineChars="200"/>
        <w:rPr>
          <w:rFonts w:ascii="宋体" w:hAnsi="宋体" w:cs="Arial"/>
          <w:sz w:val="24"/>
        </w:rPr>
      </w:pPr>
      <w:r>
        <w:rPr>
          <w:rFonts w:ascii="宋体" w:hAnsi="宋体" w:cs="Arial"/>
          <w:sz w:val="24"/>
        </w:rPr>
        <w:t>8</w:t>
      </w:r>
      <w:r>
        <w:rPr>
          <w:rFonts w:hint="eastAsia" w:ascii="宋体" w:hAnsi="宋体" w:cs="Arial"/>
          <w:sz w:val="24"/>
        </w:rPr>
        <w:t>.清算费用</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清算费用是指基金财产清算小组在进行基金清算过程中发生的所有合理费用，清算费用由基金财产清算小组优先从基金剩余财产中支付。</w:t>
      </w:r>
    </w:p>
    <w:p>
      <w:pPr>
        <w:adjustRightInd w:val="0"/>
        <w:snapToGrid w:val="0"/>
        <w:spacing w:line="360" w:lineRule="auto"/>
        <w:ind w:firstLine="480" w:firstLineChars="200"/>
        <w:rPr>
          <w:rFonts w:ascii="宋体" w:hAnsi="宋体" w:cs="Arial"/>
          <w:sz w:val="24"/>
        </w:rPr>
      </w:pPr>
      <w:r>
        <w:rPr>
          <w:rFonts w:ascii="宋体" w:hAnsi="宋体" w:cs="Arial"/>
          <w:sz w:val="24"/>
        </w:rPr>
        <w:t>9</w:t>
      </w:r>
      <w:r>
        <w:rPr>
          <w:rFonts w:hint="eastAsia" w:ascii="宋体" w:hAnsi="宋体" w:cs="Arial"/>
          <w:sz w:val="24"/>
        </w:rPr>
        <w:t>.基金财产清算剩余资产的分配</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依据基金财产清算的分配方案，将基金财产清算后的全部剩余资产扣除基金财产清算费用、交纳所欠税款并清偿基金债务后，按基金份额持有人持有的各类基金份额比例进行分配。</w:t>
      </w:r>
    </w:p>
    <w:p>
      <w:pPr>
        <w:adjustRightInd w:val="0"/>
        <w:snapToGrid w:val="0"/>
        <w:spacing w:line="360" w:lineRule="auto"/>
        <w:ind w:firstLine="480" w:firstLineChars="200"/>
        <w:rPr>
          <w:rFonts w:ascii="宋体" w:hAnsi="宋体" w:cs="Arial"/>
          <w:sz w:val="24"/>
        </w:rPr>
      </w:pPr>
      <w:r>
        <w:rPr>
          <w:rFonts w:ascii="宋体" w:hAnsi="宋体" w:cs="Arial"/>
          <w:sz w:val="24"/>
        </w:rPr>
        <w:t>10</w:t>
      </w:r>
      <w:r>
        <w:rPr>
          <w:rFonts w:hint="eastAsia" w:ascii="宋体" w:hAnsi="宋体" w:cs="Arial"/>
          <w:sz w:val="24"/>
        </w:rPr>
        <w:t>.基金财产清算的公告</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清算过程中的有关重大事项须及时公告；基金财产清算报告经</w:t>
      </w:r>
      <w:r>
        <w:rPr>
          <w:rFonts w:hint="eastAsia"/>
          <w:bCs/>
          <w:sz w:val="24"/>
        </w:rPr>
        <w:t>符合《中华人民共和国证券法》规定</w:t>
      </w:r>
      <w:r>
        <w:rPr>
          <w:rFonts w:hint="eastAsia" w:ascii="宋体" w:hAnsi="宋体" w:cs="Arial"/>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80" w:firstLineChars="200"/>
        <w:rPr>
          <w:rFonts w:ascii="宋体" w:hAnsi="宋体" w:cs="Arial"/>
          <w:sz w:val="24"/>
        </w:rPr>
      </w:pPr>
      <w:r>
        <w:rPr>
          <w:rFonts w:ascii="宋体" w:hAnsi="宋体" w:cs="Arial"/>
          <w:sz w:val="24"/>
        </w:rPr>
        <w:t>11</w:t>
      </w:r>
      <w:r>
        <w:rPr>
          <w:rFonts w:hint="eastAsia" w:ascii="宋体" w:hAnsi="宋体" w:cs="Arial"/>
          <w:sz w:val="24"/>
        </w:rPr>
        <w:t>.基金财产清算账册及文件的保存</w:t>
      </w:r>
    </w:p>
    <w:p>
      <w:pPr>
        <w:spacing w:line="360" w:lineRule="auto"/>
        <w:ind w:firstLine="480"/>
        <w:rPr>
          <w:rFonts w:cs="宋体"/>
          <w:sz w:val="24"/>
        </w:rPr>
      </w:pPr>
      <w:r>
        <w:rPr>
          <w:rFonts w:hint="eastAsia" w:cs="宋体"/>
          <w:sz w:val="24"/>
        </w:rPr>
        <w:t>基金财产清算账册及有关文件由基金托管人保存，保存期限不低于法律法规规定的最低期限。</w:t>
      </w:r>
    </w:p>
    <w:p>
      <w:pPr>
        <w:adjustRightInd w:val="0"/>
        <w:snapToGrid w:val="0"/>
        <w:spacing w:line="360" w:lineRule="auto"/>
        <w:ind w:firstLine="480" w:firstLineChars="200"/>
        <w:rPr>
          <w:rFonts w:ascii="宋体" w:hAnsi="宋体" w:cs="Arial"/>
          <w:sz w:val="24"/>
        </w:rPr>
        <w:sectPr>
          <w:footerReference r:id="rId22"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94" w:name="_Toc124325901"/>
      <w:r>
        <w:rPr>
          <w:rFonts w:hint="eastAsia" w:ascii="宋体" w:hAnsi="宋体" w:eastAsia="宋体"/>
          <w:sz w:val="30"/>
        </w:rPr>
        <w:t>十七、违约责任</w:t>
      </w:r>
      <w:bookmarkEnd w:id="94"/>
    </w:p>
    <w:p>
      <w:pPr>
        <w:pStyle w:val="4"/>
      </w:pPr>
    </w:p>
    <w:p>
      <w:pPr>
        <w:adjustRightInd w:val="0"/>
        <w:snapToGrid w:val="0"/>
        <w:spacing w:line="360" w:lineRule="auto"/>
        <w:ind w:firstLine="480" w:firstLineChars="200"/>
        <w:rPr>
          <w:rFonts w:ascii="宋体" w:hAnsi="宋体" w:cs="Arial"/>
          <w:sz w:val="24"/>
        </w:rPr>
      </w:pPr>
      <w:r>
        <w:rPr>
          <w:rFonts w:hint="eastAsia" w:ascii="宋体" w:hAnsi="宋体" w:cs="Arial"/>
          <w:sz w:val="24"/>
        </w:rPr>
        <w:t>（一）基金管理人、基金托管人不履行本协议或履行本协议不符合约定的，应当承担违约责任。</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r>
        <w:rPr>
          <w:bCs/>
          <w:sz w:val="24"/>
        </w:rPr>
        <w:t>对损失的赔偿，仅限于直接损失</w:t>
      </w:r>
      <w:r>
        <w:rPr>
          <w:sz w:val="24"/>
        </w:rPr>
        <w:t>。</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pPr>
        <w:adjustRightInd w:val="0"/>
        <w:snapToGrid w:val="0"/>
        <w:spacing w:line="360" w:lineRule="auto"/>
        <w:ind w:firstLine="480" w:firstLineChars="200"/>
        <w:rPr>
          <w:rFonts w:ascii="宋体" w:hAnsi="宋体" w:cs="Arial"/>
          <w:sz w:val="24"/>
        </w:rPr>
      </w:pPr>
      <w:r>
        <w:rPr>
          <w:rFonts w:hint="eastAsia" w:ascii="宋体" w:hAnsi="宋体" w:cs="Arial"/>
          <w:sz w:val="24"/>
        </w:rPr>
        <w:t>1.不可抗力；</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2.基金管理人和/或基金托管人按照当时有效的法律法规或中国证监会的规定作为或不作为而造成的损失等；</w:t>
      </w:r>
    </w:p>
    <w:p>
      <w:pPr>
        <w:adjustRightInd w:val="0"/>
        <w:snapToGrid w:val="0"/>
        <w:spacing w:line="360" w:lineRule="auto"/>
        <w:ind w:firstLine="480" w:firstLineChars="200"/>
        <w:rPr>
          <w:rFonts w:ascii="宋体" w:hAnsi="宋体" w:cs="Arial"/>
          <w:sz w:val="24"/>
        </w:rPr>
      </w:pPr>
      <w:r>
        <w:rPr>
          <w:rFonts w:hint="eastAsia" w:ascii="宋体" w:hAnsi="宋体" w:cs="Arial"/>
          <w:sz w:val="24"/>
        </w:rPr>
        <w:t>3. 在没有过错的情况下，基金管理人由于按照《基金合同》规定的投资原则投资或不投资造成的损失等。</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（五）违约行为虽已发生，但本托管协议能够继续履行的，在最大限度地保护基金份额持有人利益的前提下，基金管理人和基金托管人应当继续履行本协议。</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pPr>
        <w:adjustRightInd w:val="0"/>
        <w:snapToGrid w:val="0"/>
        <w:spacing w:line="360" w:lineRule="auto"/>
        <w:outlineLvl w:val="0"/>
        <w:rPr>
          <w:rFonts w:ascii="宋体" w:hAnsi="宋体" w:cs="Arial"/>
          <w:sz w:val="24"/>
        </w:rPr>
        <w:sectPr>
          <w:footerReference r:id="rId23"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95" w:name="_Toc124325902"/>
      <w:r>
        <w:rPr>
          <w:rFonts w:hint="eastAsia" w:ascii="宋体" w:hAnsi="宋体" w:eastAsia="宋体"/>
          <w:sz w:val="30"/>
        </w:rPr>
        <w:t>十八、争议解决方式</w:t>
      </w:r>
      <w:bookmarkEnd w:id="95"/>
    </w:p>
    <w:p>
      <w:pPr>
        <w:adjustRightInd w:val="0"/>
        <w:snapToGrid w:val="0"/>
        <w:spacing w:line="360" w:lineRule="auto"/>
        <w:ind w:firstLine="482" w:firstLineChars="200"/>
        <w:rPr>
          <w:rFonts w:ascii="宋体" w:hAnsi="宋体" w:cs="Arial"/>
          <w:b/>
          <w:bCs/>
          <w:i/>
          <w:iCs/>
          <w:sz w:val="24"/>
        </w:rPr>
      </w:pPr>
      <w:r>
        <w:rPr>
          <w:rFonts w:hint="eastAsia" w:ascii="宋体" w:hAnsi="宋体" w:cs="Arial"/>
          <w:b/>
          <w:bCs/>
          <w:i/>
          <w:iCs/>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裁决另有规定的，仲裁费用由败诉方承担。</w:t>
      </w:r>
    </w:p>
    <w:p>
      <w:pPr>
        <w:adjustRightInd w:val="0"/>
        <w:snapToGrid w:val="0"/>
        <w:spacing w:line="360" w:lineRule="auto"/>
        <w:ind w:firstLine="482" w:firstLineChars="200"/>
        <w:rPr>
          <w:rFonts w:ascii="宋体" w:hAnsi="宋体" w:cs="Arial"/>
          <w:b/>
          <w:bCs/>
          <w:i/>
          <w:iCs/>
          <w:sz w:val="24"/>
        </w:rPr>
      </w:pPr>
      <w:r>
        <w:rPr>
          <w:rFonts w:hint="eastAsia" w:ascii="宋体" w:hAnsi="宋体" w:cs="Arial"/>
          <w:b/>
          <w:bCs/>
          <w:i/>
          <w:iCs/>
          <w:sz w:val="24"/>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82" w:firstLineChars="200"/>
        <w:rPr>
          <w:rFonts w:ascii="宋体" w:hAnsi="宋体" w:cs="Arial"/>
          <w:b/>
          <w:bCs/>
          <w:i/>
          <w:iCs/>
          <w:sz w:val="24"/>
        </w:rPr>
      </w:pPr>
      <w:r>
        <w:rPr>
          <w:rFonts w:hint="eastAsia" w:ascii="宋体" w:hAnsi="宋体" w:cs="Arial"/>
          <w:b/>
          <w:bCs/>
          <w:i/>
          <w:iCs/>
          <w:sz w:val="24"/>
        </w:rPr>
        <w:t>本协议受中国法律（为本协议之目的，不包括香港特别行政区、澳门特别行政区和台湾地区法律）</w:t>
      </w:r>
      <w:bookmarkStart w:id="99" w:name="_GoBack"/>
      <w:bookmarkEnd w:id="99"/>
      <w:r>
        <w:rPr>
          <w:rFonts w:hint="eastAsia" w:ascii="宋体" w:hAnsi="宋体" w:cs="Arial"/>
          <w:b/>
          <w:bCs/>
          <w:i/>
          <w:iCs/>
          <w:sz w:val="24"/>
        </w:rPr>
        <w:t>管辖并按其解释。</w:t>
      </w:r>
    </w:p>
    <w:p>
      <w:pPr>
        <w:adjustRightInd w:val="0"/>
        <w:snapToGrid w:val="0"/>
        <w:spacing w:line="360" w:lineRule="auto"/>
        <w:rPr>
          <w:rFonts w:ascii="宋体" w:hAnsi="宋体" w:cs="Arial"/>
          <w:b/>
          <w:bCs/>
          <w:i/>
          <w:iCs/>
          <w:sz w:val="24"/>
        </w:rPr>
        <w:sectPr>
          <w:footerReference r:id="rId24"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96" w:name="_Toc124325903"/>
      <w:r>
        <w:rPr>
          <w:rFonts w:hint="eastAsia" w:ascii="宋体" w:hAnsi="宋体" w:eastAsia="宋体"/>
          <w:sz w:val="30"/>
        </w:rPr>
        <w:t>十九、托管协议的效力</w:t>
      </w:r>
      <w:bookmarkEnd w:id="96"/>
    </w:p>
    <w:p>
      <w:pPr>
        <w:adjustRightInd w:val="0"/>
        <w:snapToGrid w:val="0"/>
        <w:spacing w:line="360" w:lineRule="auto"/>
        <w:ind w:firstLine="480" w:firstLineChars="200"/>
        <w:rPr>
          <w:rFonts w:ascii="宋体" w:hAnsi="宋体" w:cs="Arial"/>
          <w:sz w:val="24"/>
        </w:rPr>
      </w:pPr>
      <w:r>
        <w:rPr>
          <w:rFonts w:hint="eastAsia" w:ascii="宋体" w:hAnsi="宋体" w:cs="Arial"/>
          <w:sz w:val="24"/>
        </w:rPr>
        <w:t>双方对托管协议的效力约定如下：</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（二）托管协议自《基金合同》成立之日起成立，自《基金合同》生效之日起生效。托管协议的有效期自其生效之日起至基金财产清算结果报中国证监会备案并公告之日止。</w:t>
      </w:r>
    </w:p>
    <w:p>
      <w:pPr>
        <w:adjustRightInd w:val="0"/>
        <w:snapToGrid w:val="0"/>
        <w:spacing w:line="360" w:lineRule="auto"/>
        <w:ind w:firstLine="480" w:firstLineChars="200"/>
        <w:rPr>
          <w:rFonts w:ascii="宋体" w:hAnsi="宋体" w:cs="Arial"/>
          <w:sz w:val="24"/>
        </w:rPr>
      </w:pPr>
      <w:r>
        <w:rPr>
          <w:rFonts w:hint="eastAsia" w:ascii="宋体" w:hAnsi="宋体" w:cs="Arial"/>
          <w:sz w:val="24"/>
        </w:rPr>
        <w:t>（三）托管协议自生效之日起对托管协议当事人具有同等的法律约束力。</w:t>
      </w:r>
    </w:p>
    <w:p>
      <w:pPr>
        <w:adjustRightInd w:val="0"/>
        <w:snapToGrid w:val="0"/>
        <w:spacing w:line="360" w:lineRule="auto"/>
        <w:ind w:firstLine="480" w:firstLineChars="200"/>
        <w:rPr>
          <w:rFonts w:ascii="宋体" w:hAnsi="宋体"/>
          <w:sz w:val="30"/>
          <w:szCs w:val="30"/>
        </w:rPr>
      </w:pPr>
      <w:r>
        <w:rPr>
          <w:rFonts w:hint="eastAsia" w:ascii="宋体" w:hAnsi="宋体" w:cs="Arial"/>
          <w:sz w:val="24"/>
        </w:rPr>
        <w:t>（四）本协议一式六份，协议双方各持二份，上报监管机构二份，每份具有同等的法律效力。</w:t>
      </w:r>
    </w:p>
    <w:p>
      <w:pPr>
        <w:adjustRightInd w:val="0"/>
        <w:snapToGrid w:val="0"/>
        <w:spacing w:line="360" w:lineRule="auto"/>
        <w:rPr>
          <w:rFonts w:ascii="宋体" w:hAnsi="宋体" w:cs="Arial"/>
          <w:sz w:val="24"/>
        </w:rPr>
        <w:sectPr>
          <w:footerReference r:id="rId25"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97" w:name="_Toc124325904"/>
      <w:r>
        <w:rPr>
          <w:rFonts w:hint="eastAsia" w:ascii="宋体" w:hAnsi="宋体" w:eastAsia="宋体"/>
          <w:sz w:val="30"/>
        </w:rPr>
        <w:t>二十、其他事项</w:t>
      </w:r>
      <w:bookmarkEnd w:id="97"/>
    </w:p>
    <w:p>
      <w:pPr>
        <w:adjustRightInd w:val="0"/>
        <w:snapToGrid w:val="0"/>
        <w:spacing w:line="360" w:lineRule="auto"/>
        <w:ind w:firstLine="480" w:firstLineChars="200"/>
        <w:rPr>
          <w:rFonts w:ascii="宋体" w:hAnsi="宋体" w:cs="Arial"/>
          <w:sz w:val="24"/>
        </w:rPr>
      </w:pPr>
      <w:r>
        <w:rPr>
          <w:rFonts w:hint="eastAsia" w:ascii="宋体" w:hAnsi="宋体" w:cs="Arial"/>
          <w:sz w:val="24"/>
        </w:rPr>
        <w:t>如发生有权司法机关依法冻结基金份额持有人的基金份额时，基金管理人应予以配合，承担司法协助义务。</w:t>
      </w:r>
    </w:p>
    <w:p>
      <w:pPr>
        <w:adjustRightInd w:val="0"/>
        <w:snapToGrid w:val="0"/>
        <w:spacing w:line="360" w:lineRule="auto"/>
        <w:ind w:firstLine="480" w:firstLineChars="200"/>
        <w:rPr>
          <w:rFonts w:ascii="宋体" w:hAnsi="宋体" w:cs="Arial"/>
          <w:sz w:val="24"/>
        </w:rPr>
      </w:pPr>
      <w:r>
        <w:rPr>
          <w:rFonts w:hint="eastAsia" w:ascii="宋体" w:hAnsi="宋体" w:cs="Arial"/>
          <w:sz w:val="24"/>
        </w:rPr>
        <w:t>除本协议有明确定义外，本协议的用语定义适用《基金合同》的约定。本协议未尽事宜，当事人依据《基金合同》、有关法律法规等规定协商办理。</w:t>
      </w:r>
    </w:p>
    <w:p>
      <w:pPr>
        <w:adjustRightInd w:val="0"/>
        <w:snapToGrid w:val="0"/>
        <w:spacing w:line="360" w:lineRule="auto"/>
        <w:rPr>
          <w:rFonts w:ascii="宋体" w:hAnsi="宋体"/>
          <w:b/>
          <w:bCs/>
        </w:rPr>
        <w:sectPr>
          <w:footerReference r:id="rId26" w:type="default"/>
          <w:pgSz w:w="11906" w:h="16838"/>
          <w:pgMar w:top="1418" w:right="1701" w:bottom="1418" w:left="1701" w:header="851" w:footer="992" w:gutter="0"/>
          <w:pgNumType w:start="1"/>
          <w:cols w:space="425" w:num="1"/>
          <w:docGrid w:type="lines" w:linePitch="312" w:charSpace="0"/>
        </w:sectPr>
      </w:pPr>
    </w:p>
    <w:p>
      <w:pPr>
        <w:pStyle w:val="3"/>
        <w:spacing w:line="360" w:lineRule="auto"/>
        <w:jc w:val="center"/>
        <w:rPr>
          <w:rFonts w:ascii="宋体" w:hAnsi="宋体" w:eastAsia="宋体"/>
          <w:sz w:val="30"/>
        </w:rPr>
      </w:pPr>
      <w:bookmarkStart w:id="98" w:name="_Toc124325905"/>
      <w:r>
        <w:rPr>
          <w:rFonts w:hint="eastAsia" w:ascii="宋体" w:hAnsi="宋体" w:eastAsia="宋体"/>
          <w:sz w:val="30"/>
        </w:rPr>
        <w:t>二十一、托管协议的签订</w:t>
      </w:r>
      <w:bookmarkEnd w:id="98"/>
    </w:p>
    <w:p>
      <w:pPr>
        <w:adjustRightInd w:val="0"/>
        <w:snapToGrid w:val="0"/>
        <w:spacing w:line="360" w:lineRule="auto"/>
        <w:ind w:firstLine="480" w:firstLineChars="200"/>
        <w:rPr>
          <w:rFonts w:ascii="宋体" w:hAnsi="宋体" w:cs="Arial"/>
          <w:sz w:val="24"/>
        </w:rPr>
      </w:pPr>
      <w:r>
        <w:rPr>
          <w:rFonts w:hint="eastAsia" w:ascii="宋体" w:hAnsi="宋体" w:cs="Arial"/>
          <w:sz w:val="24"/>
        </w:rPr>
        <w:t>本协议双方法定代表人或授权代表签章、签订地、签订日</w:t>
      </w:r>
    </w:p>
    <w:p>
      <w:pPr>
        <w:rPr>
          <w:rFonts w:ascii="宋体" w:hAnsi="宋体" w:cs="Arial"/>
          <w:sz w:val="24"/>
        </w:rPr>
      </w:pPr>
    </w:p>
    <w:p>
      <w:pPr>
        <w:adjustRightInd w:val="0"/>
        <w:snapToGrid w:val="0"/>
        <w:spacing w:line="360" w:lineRule="auto"/>
        <w:ind w:firstLine="480" w:firstLineChars="200"/>
        <w:rPr>
          <w:rFonts w:ascii="宋体" w:hAnsi="宋体" w:cs="Arial"/>
          <w:sz w:val="24"/>
        </w:rPr>
      </w:pPr>
    </w:p>
    <w:p>
      <w:pPr>
        <w:widowControl/>
        <w:jc w:val="left"/>
        <w:rPr>
          <w:rFonts w:ascii="宋体" w:hAnsi="宋体"/>
        </w:rPr>
      </w:pPr>
    </w:p>
    <w:sectPr>
      <w:footerReference r:id="rId27" w:type="default"/>
      <w:pgSz w:w="11906" w:h="16838"/>
      <w:pgMar w:top="1418" w:right="1701"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方正仿宋简体">
    <w:altName w:val="微软雅黑"/>
    <w:panose1 w:val="02000000000000000000"/>
    <w:charset w:val="86"/>
    <w:family w:val="roman"/>
    <w:pitch w:val="default"/>
    <w:sig w:usb0="00000000" w:usb1="00000000" w:usb2="00000012"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1</w:t>
    </w:r>
    <w:r>
      <w:rPr>
        <w:rStyle w:val="28"/>
      </w:rPr>
      <w:fldChar w:fldCharType="end"/>
    </w:r>
  </w:p>
  <w:p>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7-</w:t>
    </w:r>
    <w:r>
      <w:fldChar w:fldCharType="begin"/>
    </w:r>
    <w:r>
      <w:instrText xml:space="preserve">PAGE   \* MERGEFORMAT</w:instrText>
    </w:r>
    <w:r>
      <w:fldChar w:fldCharType="separate"/>
    </w:r>
    <w:r>
      <w:rPr>
        <w:lang w:val="zh-CN"/>
      </w:rPr>
      <w:t>7</w:t>
    </w:r>
    <w:r>
      <w:fldChar w:fldCharType="end"/>
    </w:r>
  </w:p>
  <w:p>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8-</w:t>
    </w:r>
    <w:r>
      <w:fldChar w:fldCharType="begin"/>
    </w:r>
    <w:r>
      <w:instrText xml:space="preserve">PAGE   \* MERGEFORMAT</w:instrText>
    </w:r>
    <w:r>
      <w:fldChar w:fldCharType="separate"/>
    </w:r>
    <w:r>
      <w:rPr>
        <w:lang w:val="zh-CN"/>
      </w:rPr>
      <w:t>6</w:t>
    </w:r>
    <w:r>
      <w:fldChar w:fldCharType="end"/>
    </w:r>
  </w:p>
  <w:p>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9-</w:t>
    </w:r>
    <w:r>
      <w:fldChar w:fldCharType="begin"/>
    </w:r>
    <w:r>
      <w:instrText xml:space="preserve">PAGE   \* MERGEFORMAT</w:instrText>
    </w:r>
    <w:r>
      <w:fldChar w:fldCharType="separate"/>
    </w:r>
    <w:r>
      <w:rPr>
        <w:lang w:val="zh-CN"/>
      </w:rPr>
      <w:t>1</w:t>
    </w:r>
    <w:r>
      <w:fldChar w:fldCharType="end"/>
    </w:r>
  </w:p>
  <w:p>
    <w:pPr>
      <w:pStyle w:val="1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10-</w:t>
    </w:r>
    <w:r>
      <w:fldChar w:fldCharType="begin"/>
    </w:r>
    <w:r>
      <w:instrText xml:space="preserve">PAGE   \* MERGEFORMAT</w:instrText>
    </w:r>
    <w:r>
      <w:fldChar w:fldCharType="separate"/>
    </w:r>
    <w:r>
      <w:rPr>
        <w:lang w:val="zh-CN"/>
      </w:rPr>
      <w:t>2</w:t>
    </w:r>
    <w:r>
      <w:fldChar w:fldCharType="end"/>
    </w:r>
  </w:p>
  <w:p>
    <w:pPr>
      <w:pStyle w:val="1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11-</w:t>
    </w:r>
    <w:r>
      <w:fldChar w:fldCharType="begin"/>
    </w:r>
    <w:r>
      <w:instrText xml:space="preserve">PAGE   \* MERGEFORMAT</w:instrText>
    </w:r>
    <w:r>
      <w:fldChar w:fldCharType="separate"/>
    </w:r>
    <w:r>
      <w:rPr>
        <w:lang w:val="zh-CN"/>
      </w:rPr>
      <w:t>2</w:t>
    </w:r>
    <w:r>
      <w:fldChar w:fldCharType="end"/>
    </w:r>
  </w:p>
  <w:p>
    <w:pPr>
      <w:pStyle w:val="1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12-</w:t>
    </w:r>
    <w:r>
      <w:fldChar w:fldCharType="begin"/>
    </w:r>
    <w:r>
      <w:instrText xml:space="preserve">PAGE   \* MERGEFORMAT</w:instrText>
    </w:r>
    <w:r>
      <w:fldChar w:fldCharType="separate"/>
    </w:r>
    <w:r>
      <w:rPr>
        <w:lang w:val="zh-CN"/>
      </w:rPr>
      <w:t>1</w:t>
    </w:r>
    <w:r>
      <w:fldChar w:fldCharType="end"/>
    </w:r>
  </w:p>
  <w:p>
    <w:pPr>
      <w:pStyle w:val="1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13-</w:t>
    </w:r>
    <w:r>
      <w:fldChar w:fldCharType="begin"/>
    </w:r>
    <w:r>
      <w:instrText xml:space="preserve">PAGE   \* MERGEFORMAT</w:instrText>
    </w:r>
    <w:r>
      <w:fldChar w:fldCharType="separate"/>
    </w:r>
    <w:r>
      <w:rPr>
        <w:lang w:val="zh-CN"/>
      </w:rPr>
      <w:t>1</w:t>
    </w:r>
    <w:r>
      <w:fldChar w:fldCharType="end"/>
    </w:r>
  </w:p>
  <w:p>
    <w:pPr>
      <w:pStyle w:val="1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14-</w:t>
    </w:r>
    <w:r>
      <w:fldChar w:fldCharType="begin"/>
    </w:r>
    <w:r>
      <w:instrText xml:space="preserve">PAGE   \* MERGEFORMAT</w:instrText>
    </w:r>
    <w:r>
      <w:fldChar w:fldCharType="separate"/>
    </w:r>
    <w:r>
      <w:rPr>
        <w:lang w:val="zh-CN"/>
      </w:rPr>
      <w:t>3</w:t>
    </w:r>
    <w:r>
      <w:fldChar w:fldCharType="end"/>
    </w:r>
  </w:p>
  <w:p>
    <w:pPr>
      <w:pStyle w:val="1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15-</w:t>
    </w:r>
    <w:r>
      <w:fldChar w:fldCharType="begin"/>
    </w:r>
    <w:r>
      <w:instrText xml:space="preserve">PAGE   \* MERGEFORMAT</w:instrText>
    </w:r>
    <w:r>
      <w:fldChar w:fldCharType="separate"/>
    </w:r>
    <w:r>
      <w:rPr>
        <w:lang w:val="zh-CN"/>
      </w:rPr>
      <w:t>1</w:t>
    </w:r>
    <w:r>
      <w:fldChar w:fldCharType="end"/>
    </w:r>
  </w:p>
  <w:p>
    <w:pPr>
      <w:pStyle w:val="1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16-</w:t>
    </w:r>
    <w:r>
      <w:fldChar w:fldCharType="begin"/>
    </w:r>
    <w:r>
      <w:instrText xml:space="preserve">PAGE   \* MERGEFORMAT</w:instrText>
    </w:r>
    <w:r>
      <w:fldChar w:fldCharType="separate"/>
    </w:r>
    <w:r>
      <w:rPr>
        <w:lang w:val="zh-CN"/>
      </w:rPr>
      <w:t>2</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17-</w:t>
    </w:r>
    <w:r>
      <w:fldChar w:fldCharType="begin"/>
    </w:r>
    <w:r>
      <w:instrText xml:space="preserve">PAGE   \* MERGEFORMAT</w:instrText>
    </w:r>
    <w:r>
      <w:fldChar w:fldCharType="separate"/>
    </w:r>
    <w:r>
      <w:rPr>
        <w:lang w:val="zh-CN"/>
      </w:rPr>
      <w:t>1</w:t>
    </w:r>
    <w:r>
      <w:fldChar w:fldCharType="end"/>
    </w:r>
  </w:p>
  <w:p>
    <w:pPr>
      <w:pStyle w:val="1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18-</w:t>
    </w:r>
    <w:r>
      <w:fldChar w:fldCharType="begin"/>
    </w:r>
    <w:r>
      <w:instrText xml:space="preserve">PAGE   \* MERGEFORMAT</w:instrText>
    </w:r>
    <w:r>
      <w:fldChar w:fldCharType="separate"/>
    </w:r>
    <w:r>
      <w:rPr>
        <w:lang w:val="zh-CN"/>
      </w:rPr>
      <w:t>1</w:t>
    </w:r>
    <w:r>
      <w:fldChar w:fldCharType="end"/>
    </w:r>
  </w:p>
  <w:p>
    <w:pPr>
      <w:pStyle w:val="1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19-</w:t>
    </w:r>
    <w:r>
      <w:fldChar w:fldCharType="begin"/>
    </w:r>
    <w:r>
      <w:instrText xml:space="preserve">PAGE   \* MERGEFORMAT</w:instrText>
    </w:r>
    <w:r>
      <w:fldChar w:fldCharType="separate"/>
    </w:r>
    <w:r>
      <w:rPr>
        <w:lang w:val="zh-CN"/>
      </w:rPr>
      <w:t>1</w:t>
    </w:r>
    <w:r>
      <w:fldChar w:fldCharType="end"/>
    </w:r>
  </w:p>
  <w:p>
    <w:pPr>
      <w:pStyle w:val="1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20-</w:t>
    </w:r>
    <w:r>
      <w:fldChar w:fldCharType="begin"/>
    </w:r>
    <w:r>
      <w:instrText xml:space="preserve">PAGE   \* MERGEFORMAT</w:instrText>
    </w:r>
    <w:r>
      <w:fldChar w:fldCharType="separate"/>
    </w:r>
    <w:r>
      <w:rPr>
        <w:lang w:val="zh-CN"/>
      </w:rPr>
      <w:t>1</w:t>
    </w:r>
    <w:r>
      <w:fldChar w:fldCharType="end"/>
    </w:r>
  </w:p>
  <w:p>
    <w:pPr>
      <w:pStyle w:val="1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0-</w:t>
    </w:r>
    <w:r>
      <w:fldChar w:fldCharType="begin"/>
    </w:r>
    <w:r>
      <w:instrText xml:space="preserve">PAGE   \* MERGEFORMAT</w:instrText>
    </w:r>
    <w:r>
      <w:fldChar w:fldCharType="separate"/>
    </w:r>
    <w:r>
      <w:rPr>
        <w:lang w:val="zh-CN"/>
      </w:rPr>
      <w:t>1</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1-</w:t>
    </w:r>
    <w:r>
      <w:fldChar w:fldCharType="begin"/>
    </w:r>
    <w:r>
      <w:instrText xml:space="preserve">PAGE   \* MERGEFORMAT</w:instrText>
    </w:r>
    <w:r>
      <w:fldChar w:fldCharType="separate"/>
    </w:r>
    <w:r>
      <w:rPr>
        <w:lang w:val="zh-CN"/>
      </w:rPr>
      <w:t>2</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2-</w:t>
    </w:r>
    <w:r>
      <w:fldChar w:fldCharType="begin"/>
    </w:r>
    <w:r>
      <w:instrText xml:space="preserve">PAGE   \* MERGEFORMAT</w:instrText>
    </w:r>
    <w:r>
      <w:fldChar w:fldCharType="separate"/>
    </w:r>
    <w:r>
      <w:rPr>
        <w:lang w:val="zh-CN"/>
      </w:rPr>
      <w:t>1</w: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3-</w:t>
    </w:r>
    <w:r>
      <w:fldChar w:fldCharType="begin"/>
    </w:r>
    <w:r>
      <w:instrText xml:space="preserve">PAGE   \* MERGEFORMAT</w:instrText>
    </w:r>
    <w:r>
      <w:fldChar w:fldCharType="separate"/>
    </w:r>
    <w:r>
      <w:rPr>
        <w:lang w:val="zh-CN"/>
      </w:rPr>
      <w:t>8</w:t>
    </w:r>
    <w:r>
      <w:fldChar w:fldCharType="end"/>
    </w:r>
  </w:p>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4-</w:t>
    </w:r>
    <w:r>
      <w:fldChar w:fldCharType="begin"/>
    </w:r>
    <w:r>
      <w:instrText xml:space="preserve">PAGE   \* MERGEFORMAT</w:instrText>
    </w:r>
    <w:r>
      <w:fldChar w:fldCharType="separate"/>
    </w:r>
    <w:r>
      <w:rPr>
        <w:lang w:val="zh-CN"/>
      </w:rPr>
      <w:t>1</w:t>
    </w:r>
    <w:r>
      <w:fldChar w:fldCharType="end"/>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5-</w:t>
    </w:r>
    <w:r>
      <w:fldChar w:fldCharType="begin"/>
    </w:r>
    <w:r>
      <w:instrText xml:space="preserve">PAGE   \* MERGEFORMAT</w:instrText>
    </w:r>
    <w:r>
      <w:fldChar w:fldCharType="separate"/>
    </w:r>
    <w:r>
      <w:rPr>
        <w:lang w:val="zh-CN"/>
      </w:rPr>
      <w:t>4</w:t>
    </w:r>
    <w: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rPr>
      <w:t>6-</w:t>
    </w:r>
    <w:r>
      <w:fldChar w:fldCharType="begin"/>
    </w:r>
    <w:r>
      <w:instrText xml:space="preserve">PAGE   \* MERGEFORMAT</w:instrText>
    </w:r>
    <w:r>
      <w:fldChar w:fldCharType="separate"/>
    </w:r>
    <w:r>
      <w:rPr>
        <w:lang w:val="zh-CN"/>
      </w:rPr>
      <w:t>3</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D4373"/>
    <w:multiLevelType w:val="singleLevel"/>
    <w:tmpl w:val="7A6D437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46"/>
    <w:rsid w:val="00003D21"/>
    <w:rsid w:val="0000635C"/>
    <w:rsid w:val="00006D94"/>
    <w:rsid w:val="00010CD0"/>
    <w:rsid w:val="00014D89"/>
    <w:rsid w:val="00014F7E"/>
    <w:rsid w:val="00015773"/>
    <w:rsid w:val="000167B7"/>
    <w:rsid w:val="00016E8E"/>
    <w:rsid w:val="0001732A"/>
    <w:rsid w:val="0002054C"/>
    <w:rsid w:val="00021A17"/>
    <w:rsid w:val="00023554"/>
    <w:rsid w:val="00023683"/>
    <w:rsid w:val="00024BAF"/>
    <w:rsid w:val="00026163"/>
    <w:rsid w:val="00031B2A"/>
    <w:rsid w:val="00031F5B"/>
    <w:rsid w:val="00033578"/>
    <w:rsid w:val="00036A12"/>
    <w:rsid w:val="00037EED"/>
    <w:rsid w:val="000400C4"/>
    <w:rsid w:val="00040992"/>
    <w:rsid w:val="00041366"/>
    <w:rsid w:val="00043F48"/>
    <w:rsid w:val="00044269"/>
    <w:rsid w:val="00044B81"/>
    <w:rsid w:val="00044DF6"/>
    <w:rsid w:val="00044FC1"/>
    <w:rsid w:val="00045129"/>
    <w:rsid w:val="00045196"/>
    <w:rsid w:val="000461B8"/>
    <w:rsid w:val="0004751E"/>
    <w:rsid w:val="000501FF"/>
    <w:rsid w:val="00051F27"/>
    <w:rsid w:val="00052115"/>
    <w:rsid w:val="00052925"/>
    <w:rsid w:val="00052B50"/>
    <w:rsid w:val="00052F8F"/>
    <w:rsid w:val="00053880"/>
    <w:rsid w:val="000563A4"/>
    <w:rsid w:val="00057B09"/>
    <w:rsid w:val="000613DF"/>
    <w:rsid w:val="00061ADA"/>
    <w:rsid w:val="000650C0"/>
    <w:rsid w:val="00065C19"/>
    <w:rsid w:val="00065EA6"/>
    <w:rsid w:val="000668D1"/>
    <w:rsid w:val="00076B83"/>
    <w:rsid w:val="00080775"/>
    <w:rsid w:val="000809D7"/>
    <w:rsid w:val="00080FDA"/>
    <w:rsid w:val="0008271D"/>
    <w:rsid w:val="00084DAB"/>
    <w:rsid w:val="00086310"/>
    <w:rsid w:val="0009143D"/>
    <w:rsid w:val="000924B2"/>
    <w:rsid w:val="0009258E"/>
    <w:rsid w:val="000935D4"/>
    <w:rsid w:val="000951E0"/>
    <w:rsid w:val="000956ED"/>
    <w:rsid w:val="00096CB9"/>
    <w:rsid w:val="000A02EF"/>
    <w:rsid w:val="000A252E"/>
    <w:rsid w:val="000A26E0"/>
    <w:rsid w:val="000A4D16"/>
    <w:rsid w:val="000A6CEA"/>
    <w:rsid w:val="000B1233"/>
    <w:rsid w:val="000B37DB"/>
    <w:rsid w:val="000B3A8A"/>
    <w:rsid w:val="000B67A2"/>
    <w:rsid w:val="000B6E48"/>
    <w:rsid w:val="000B7C23"/>
    <w:rsid w:val="000C0D35"/>
    <w:rsid w:val="000C1437"/>
    <w:rsid w:val="000C1971"/>
    <w:rsid w:val="000C1E15"/>
    <w:rsid w:val="000C4393"/>
    <w:rsid w:val="000C7D7F"/>
    <w:rsid w:val="000D4482"/>
    <w:rsid w:val="000D4AA4"/>
    <w:rsid w:val="000D5535"/>
    <w:rsid w:val="000E1CC2"/>
    <w:rsid w:val="000E29EA"/>
    <w:rsid w:val="000E2AD0"/>
    <w:rsid w:val="000E3198"/>
    <w:rsid w:val="000E4EAF"/>
    <w:rsid w:val="000E52C4"/>
    <w:rsid w:val="000E5388"/>
    <w:rsid w:val="000E60B6"/>
    <w:rsid w:val="000F0495"/>
    <w:rsid w:val="000F0652"/>
    <w:rsid w:val="000F0D51"/>
    <w:rsid w:val="000F21BA"/>
    <w:rsid w:val="000F281E"/>
    <w:rsid w:val="000F3C77"/>
    <w:rsid w:val="000F54B9"/>
    <w:rsid w:val="000F78DC"/>
    <w:rsid w:val="00104AFA"/>
    <w:rsid w:val="00112E65"/>
    <w:rsid w:val="00112FB1"/>
    <w:rsid w:val="00114F49"/>
    <w:rsid w:val="00116C0C"/>
    <w:rsid w:val="00117776"/>
    <w:rsid w:val="00121E19"/>
    <w:rsid w:val="001230D8"/>
    <w:rsid w:val="0012371E"/>
    <w:rsid w:val="001251DB"/>
    <w:rsid w:val="0012542B"/>
    <w:rsid w:val="001311A5"/>
    <w:rsid w:val="001338FA"/>
    <w:rsid w:val="00133AF3"/>
    <w:rsid w:val="001358EF"/>
    <w:rsid w:val="0013667C"/>
    <w:rsid w:val="00140054"/>
    <w:rsid w:val="00146476"/>
    <w:rsid w:val="00146732"/>
    <w:rsid w:val="0014725F"/>
    <w:rsid w:val="0015094A"/>
    <w:rsid w:val="001511A2"/>
    <w:rsid w:val="0015350C"/>
    <w:rsid w:val="00160C1F"/>
    <w:rsid w:val="001639A2"/>
    <w:rsid w:val="00163B57"/>
    <w:rsid w:val="00165408"/>
    <w:rsid w:val="00165461"/>
    <w:rsid w:val="001701E9"/>
    <w:rsid w:val="00170D1A"/>
    <w:rsid w:val="00170F00"/>
    <w:rsid w:val="00171734"/>
    <w:rsid w:val="001722B4"/>
    <w:rsid w:val="00176104"/>
    <w:rsid w:val="001764D0"/>
    <w:rsid w:val="00181A49"/>
    <w:rsid w:val="0018235F"/>
    <w:rsid w:val="001839B6"/>
    <w:rsid w:val="00186112"/>
    <w:rsid w:val="001878E8"/>
    <w:rsid w:val="00187ED4"/>
    <w:rsid w:val="00191221"/>
    <w:rsid w:val="00192194"/>
    <w:rsid w:val="00192D9C"/>
    <w:rsid w:val="00194048"/>
    <w:rsid w:val="00194D93"/>
    <w:rsid w:val="001A044F"/>
    <w:rsid w:val="001A13E9"/>
    <w:rsid w:val="001A5A8B"/>
    <w:rsid w:val="001A5E5A"/>
    <w:rsid w:val="001B00FB"/>
    <w:rsid w:val="001B042F"/>
    <w:rsid w:val="001B12F0"/>
    <w:rsid w:val="001B2884"/>
    <w:rsid w:val="001B4710"/>
    <w:rsid w:val="001B5AC7"/>
    <w:rsid w:val="001B6711"/>
    <w:rsid w:val="001B7170"/>
    <w:rsid w:val="001B7A4A"/>
    <w:rsid w:val="001C27C9"/>
    <w:rsid w:val="001C5E36"/>
    <w:rsid w:val="001C5E75"/>
    <w:rsid w:val="001C795B"/>
    <w:rsid w:val="001D382E"/>
    <w:rsid w:val="001D3AAE"/>
    <w:rsid w:val="001D45A9"/>
    <w:rsid w:val="001D5523"/>
    <w:rsid w:val="001D6FD3"/>
    <w:rsid w:val="001E0EA2"/>
    <w:rsid w:val="001E1EEE"/>
    <w:rsid w:val="001F0CD3"/>
    <w:rsid w:val="001F242B"/>
    <w:rsid w:val="001F3300"/>
    <w:rsid w:val="001F3E5E"/>
    <w:rsid w:val="001F4ACD"/>
    <w:rsid w:val="001F6322"/>
    <w:rsid w:val="002008D9"/>
    <w:rsid w:val="00202B6B"/>
    <w:rsid w:val="00202CEB"/>
    <w:rsid w:val="002042F9"/>
    <w:rsid w:val="002044F7"/>
    <w:rsid w:val="002045FD"/>
    <w:rsid w:val="002046CF"/>
    <w:rsid w:val="00205831"/>
    <w:rsid w:val="00206C57"/>
    <w:rsid w:val="00207691"/>
    <w:rsid w:val="002106DD"/>
    <w:rsid w:val="00210AD8"/>
    <w:rsid w:val="002130C8"/>
    <w:rsid w:val="00213D7D"/>
    <w:rsid w:val="00217BDA"/>
    <w:rsid w:val="00217FD6"/>
    <w:rsid w:val="002223D4"/>
    <w:rsid w:val="00222C72"/>
    <w:rsid w:val="00225497"/>
    <w:rsid w:val="00225AAA"/>
    <w:rsid w:val="00227201"/>
    <w:rsid w:val="00227767"/>
    <w:rsid w:val="00230B8F"/>
    <w:rsid w:val="00231DA2"/>
    <w:rsid w:val="00232558"/>
    <w:rsid w:val="00232B63"/>
    <w:rsid w:val="00235150"/>
    <w:rsid w:val="00237E33"/>
    <w:rsid w:val="0024020A"/>
    <w:rsid w:val="002422B1"/>
    <w:rsid w:val="00245B0D"/>
    <w:rsid w:val="00245EA6"/>
    <w:rsid w:val="00251DB4"/>
    <w:rsid w:val="00251E8D"/>
    <w:rsid w:val="0025363A"/>
    <w:rsid w:val="002553C2"/>
    <w:rsid w:val="002560A6"/>
    <w:rsid w:val="002609E1"/>
    <w:rsid w:val="00260FF1"/>
    <w:rsid w:val="00261673"/>
    <w:rsid w:val="002629E0"/>
    <w:rsid w:val="0026407C"/>
    <w:rsid w:val="002646FC"/>
    <w:rsid w:val="002649F7"/>
    <w:rsid w:val="00267BB2"/>
    <w:rsid w:val="00267F51"/>
    <w:rsid w:val="002706D7"/>
    <w:rsid w:val="00270972"/>
    <w:rsid w:val="002716BE"/>
    <w:rsid w:val="002773E6"/>
    <w:rsid w:val="00277D97"/>
    <w:rsid w:val="00281E57"/>
    <w:rsid w:val="00283EF6"/>
    <w:rsid w:val="002848D6"/>
    <w:rsid w:val="00285965"/>
    <w:rsid w:val="00287CB0"/>
    <w:rsid w:val="0029435A"/>
    <w:rsid w:val="002954DD"/>
    <w:rsid w:val="002A1FBC"/>
    <w:rsid w:val="002A25E7"/>
    <w:rsid w:val="002A2E37"/>
    <w:rsid w:val="002A4C4A"/>
    <w:rsid w:val="002A6EAA"/>
    <w:rsid w:val="002B167B"/>
    <w:rsid w:val="002B4697"/>
    <w:rsid w:val="002B5639"/>
    <w:rsid w:val="002B651A"/>
    <w:rsid w:val="002B6E7E"/>
    <w:rsid w:val="002B6FC5"/>
    <w:rsid w:val="002C040E"/>
    <w:rsid w:val="002C1536"/>
    <w:rsid w:val="002C73C0"/>
    <w:rsid w:val="002C77E4"/>
    <w:rsid w:val="002D1DC0"/>
    <w:rsid w:val="002D1E8A"/>
    <w:rsid w:val="002D70C1"/>
    <w:rsid w:val="002E0724"/>
    <w:rsid w:val="002E1ACA"/>
    <w:rsid w:val="002E337A"/>
    <w:rsid w:val="002E3ADD"/>
    <w:rsid w:val="002E4DD7"/>
    <w:rsid w:val="002E518F"/>
    <w:rsid w:val="002E5CE8"/>
    <w:rsid w:val="002E5E41"/>
    <w:rsid w:val="002E6530"/>
    <w:rsid w:val="002E75B4"/>
    <w:rsid w:val="002F4C05"/>
    <w:rsid w:val="00301E1D"/>
    <w:rsid w:val="0030359A"/>
    <w:rsid w:val="00304385"/>
    <w:rsid w:val="00306034"/>
    <w:rsid w:val="003066DD"/>
    <w:rsid w:val="00311643"/>
    <w:rsid w:val="003124E0"/>
    <w:rsid w:val="00313BF8"/>
    <w:rsid w:val="003155D1"/>
    <w:rsid w:val="003166AD"/>
    <w:rsid w:val="00316C2C"/>
    <w:rsid w:val="00317A95"/>
    <w:rsid w:val="003204F0"/>
    <w:rsid w:val="003210A0"/>
    <w:rsid w:val="003212C2"/>
    <w:rsid w:val="00321A08"/>
    <w:rsid w:val="00327F11"/>
    <w:rsid w:val="00330725"/>
    <w:rsid w:val="00331867"/>
    <w:rsid w:val="00332141"/>
    <w:rsid w:val="00335AC3"/>
    <w:rsid w:val="00336232"/>
    <w:rsid w:val="00337B7F"/>
    <w:rsid w:val="0034160C"/>
    <w:rsid w:val="003443A0"/>
    <w:rsid w:val="003460DC"/>
    <w:rsid w:val="00347353"/>
    <w:rsid w:val="003477AA"/>
    <w:rsid w:val="00350A10"/>
    <w:rsid w:val="003522DE"/>
    <w:rsid w:val="00352F02"/>
    <w:rsid w:val="0035433A"/>
    <w:rsid w:val="00354C4D"/>
    <w:rsid w:val="003569AC"/>
    <w:rsid w:val="003624EA"/>
    <w:rsid w:val="00365CD6"/>
    <w:rsid w:val="00365E42"/>
    <w:rsid w:val="003706EF"/>
    <w:rsid w:val="0037217E"/>
    <w:rsid w:val="0037259D"/>
    <w:rsid w:val="00377804"/>
    <w:rsid w:val="00380BFC"/>
    <w:rsid w:val="003839F7"/>
    <w:rsid w:val="00385834"/>
    <w:rsid w:val="00385F52"/>
    <w:rsid w:val="00386085"/>
    <w:rsid w:val="00387380"/>
    <w:rsid w:val="00391CCD"/>
    <w:rsid w:val="0039239D"/>
    <w:rsid w:val="00393B0E"/>
    <w:rsid w:val="00394053"/>
    <w:rsid w:val="0039409E"/>
    <w:rsid w:val="00395388"/>
    <w:rsid w:val="003954BF"/>
    <w:rsid w:val="003A0BCD"/>
    <w:rsid w:val="003A15CF"/>
    <w:rsid w:val="003A20A2"/>
    <w:rsid w:val="003A352E"/>
    <w:rsid w:val="003A4948"/>
    <w:rsid w:val="003A4A22"/>
    <w:rsid w:val="003A6723"/>
    <w:rsid w:val="003B130A"/>
    <w:rsid w:val="003B31C9"/>
    <w:rsid w:val="003B6E06"/>
    <w:rsid w:val="003C48AB"/>
    <w:rsid w:val="003C4A57"/>
    <w:rsid w:val="003C5020"/>
    <w:rsid w:val="003C5E55"/>
    <w:rsid w:val="003C77FA"/>
    <w:rsid w:val="003C790B"/>
    <w:rsid w:val="003C7DA6"/>
    <w:rsid w:val="003C7E8B"/>
    <w:rsid w:val="003D5AA9"/>
    <w:rsid w:val="003D794B"/>
    <w:rsid w:val="003D7D69"/>
    <w:rsid w:val="003E6F59"/>
    <w:rsid w:val="003F44D3"/>
    <w:rsid w:val="003F49DC"/>
    <w:rsid w:val="003F6501"/>
    <w:rsid w:val="003F7871"/>
    <w:rsid w:val="004023E6"/>
    <w:rsid w:val="0040454C"/>
    <w:rsid w:val="00405EAA"/>
    <w:rsid w:val="00411602"/>
    <w:rsid w:val="004122FF"/>
    <w:rsid w:val="00413C4F"/>
    <w:rsid w:val="004158F4"/>
    <w:rsid w:val="004160F2"/>
    <w:rsid w:val="00416D0B"/>
    <w:rsid w:val="00420371"/>
    <w:rsid w:val="00421C5B"/>
    <w:rsid w:val="0042296F"/>
    <w:rsid w:val="00424565"/>
    <w:rsid w:val="00424EDC"/>
    <w:rsid w:val="004272B1"/>
    <w:rsid w:val="00430F21"/>
    <w:rsid w:val="00431D76"/>
    <w:rsid w:val="00432AEB"/>
    <w:rsid w:val="00433249"/>
    <w:rsid w:val="0043331C"/>
    <w:rsid w:val="004338CF"/>
    <w:rsid w:val="00440FFF"/>
    <w:rsid w:val="00441B6B"/>
    <w:rsid w:val="00444C9D"/>
    <w:rsid w:val="004474DF"/>
    <w:rsid w:val="0045122D"/>
    <w:rsid w:val="00452440"/>
    <w:rsid w:val="0045316A"/>
    <w:rsid w:val="004564C9"/>
    <w:rsid w:val="00457BD6"/>
    <w:rsid w:val="0046029D"/>
    <w:rsid w:val="00461319"/>
    <w:rsid w:val="004639FD"/>
    <w:rsid w:val="00464C1A"/>
    <w:rsid w:val="00464C2E"/>
    <w:rsid w:val="00465EF0"/>
    <w:rsid w:val="00465F74"/>
    <w:rsid w:val="0046629D"/>
    <w:rsid w:val="004677C3"/>
    <w:rsid w:val="00474600"/>
    <w:rsid w:val="00474E6B"/>
    <w:rsid w:val="00480388"/>
    <w:rsid w:val="00480F7A"/>
    <w:rsid w:val="00485783"/>
    <w:rsid w:val="00487F4D"/>
    <w:rsid w:val="004904BD"/>
    <w:rsid w:val="00494CF7"/>
    <w:rsid w:val="004A20DA"/>
    <w:rsid w:val="004A2329"/>
    <w:rsid w:val="004A26C4"/>
    <w:rsid w:val="004A5175"/>
    <w:rsid w:val="004B14AC"/>
    <w:rsid w:val="004B276C"/>
    <w:rsid w:val="004B2B77"/>
    <w:rsid w:val="004B3877"/>
    <w:rsid w:val="004B4580"/>
    <w:rsid w:val="004C09BF"/>
    <w:rsid w:val="004C0E18"/>
    <w:rsid w:val="004C17BF"/>
    <w:rsid w:val="004C1968"/>
    <w:rsid w:val="004C3082"/>
    <w:rsid w:val="004C3B13"/>
    <w:rsid w:val="004C521D"/>
    <w:rsid w:val="004C59C4"/>
    <w:rsid w:val="004C7E50"/>
    <w:rsid w:val="004D176A"/>
    <w:rsid w:val="004D4848"/>
    <w:rsid w:val="004D764C"/>
    <w:rsid w:val="004E106A"/>
    <w:rsid w:val="004E1C53"/>
    <w:rsid w:val="004E1ED0"/>
    <w:rsid w:val="004E2231"/>
    <w:rsid w:val="004E2B83"/>
    <w:rsid w:val="004E3159"/>
    <w:rsid w:val="004E4626"/>
    <w:rsid w:val="004E4ABF"/>
    <w:rsid w:val="004E5C40"/>
    <w:rsid w:val="004E5E57"/>
    <w:rsid w:val="004F2D3C"/>
    <w:rsid w:val="004F3231"/>
    <w:rsid w:val="004F397E"/>
    <w:rsid w:val="004F494B"/>
    <w:rsid w:val="005008B3"/>
    <w:rsid w:val="00501C78"/>
    <w:rsid w:val="005108E8"/>
    <w:rsid w:val="0051463E"/>
    <w:rsid w:val="0051646D"/>
    <w:rsid w:val="00517A52"/>
    <w:rsid w:val="00522898"/>
    <w:rsid w:val="005238F6"/>
    <w:rsid w:val="00526544"/>
    <w:rsid w:val="00526B4B"/>
    <w:rsid w:val="00530321"/>
    <w:rsid w:val="00531816"/>
    <w:rsid w:val="0053197E"/>
    <w:rsid w:val="00532F58"/>
    <w:rsid w:val="0053301F"/>
    <w:rsid w:val="00533066"/>
    <w:rsid w:val="00533C28"/>
    <w:rsid w:val="0053414A"/>
    <w:rsid w:val="00535798"/>
    <w:rsid w:val="00536937"/>
    <w:rsid w:val="0053748D"/>
    <w:rsid w:val="00537B45"/>
    <w:rsid w:val="005408B0"/>
    <w:rsid w:val="005409A6"/>
    <w:rsid w:val="00541633"/>
    <w:rsid w:val="00542402"/>
    <w:rsid w:val="00544AD1"/>
    <w:rsid w:val="00546381"/>
    <w:rsid w:val="00546747"/>
    <w:rsid w:val="00546846"/>
    <w:rsid w:val="00550BD0"/>
    <w:rsid w:val="00550E05"/>
    <w:rsid w:val="00550EFF"/>
    <w:rsid w:val="00550FC6"/>
    <w:rsid w:val="00552B11"/>
    <w:rsid w:val="00554676"/>
    <w:rsid w:val="005553A9"/>
    <w:rsid w:val="0055713B"/>
    <w:rsid w:val="00557414"/>
    <w:rsid w:val="005630A5"/>
    <w:rsid w:val="0056694C"/>
    <w:rsid w:val="00573CD3"/>
    <w:rsid w:val="00575B5B"/>
    <w:rsid w:val="00580F5D"/>
    <w:rsid w:val="00581658"/>
    <w:rsid w:val="00583FA4"/>
    <w:rsid w:val="00584EA6"/>
    <w:rsid w:val="0059027D"/>
    <w:rsid w:val="00591E9F"/>
    <w:rsid w:val="005944EA"/>
    <w:rsid w:val="0059503E"/>
    <w:rsid w:val="005A0199"/>
    <w:rsid w:val="005A1824"/>
    <w:rsid w:val="005A495E"/>
    <w:rsid w:val="005A51D2"/>
    <w:rsid w:val="005A5B14"/>
    <w:rsid w:val="005A6E7C"/>
    <w:rsid w:val="005A6E91"/>
    <w:rsid w:val="005B07FC"/>
    <w:rsid w:val="005B23CF"/>
    <w:rsid w:val="005B37E8"/>
    <w:rsid w:val="005B3D7C"/>
    <w:rsid w:val="005B51F6"/>
    <w:rsid w:val="005C2D07"/>
    <w:rsid w:val="005C4B85"/>
    <w:rsid w:val="005C51FE"/>
    <w:rsid w:val="005C7F1B"/>
    <w:rsid w:val="005D2F57"/>
    <w:rsid w:val="005D3139"/>
    <w:rsid w:val="005D4EF1"/>
    <w:rsid w:val="005D6413"/>
    <w:rsid w:val="005D670E"/>
    <w:rsid w:val="005E0D8E"/>
    <w:rsid w:val="005F079C"/>
    <w:rsid w:val="005F0817"/>
    <w:rsid w:val="005F10AE"/>
    <w:rsid w:val="005F185A"/>
    <w:rsid w:val="005F5240"/>
    <w:rsid w:val="005F544C"/>
    <w:rsid w:val="005F5C60"/>
    <w:rsid w:val="005F7BAB"/>
    <w:rsid w:val="00601207"/>
    <w:rsid w:val="00603CBB"/>
    <w:rsid w:val="00607BE6"/>
    <w:rsid w:val="00610E97"/>
    <w:rsid w:val="00611D50"/>
    <w:rsid w:val="00616DCF"/>
    <w:rsid w:val="00621B64"/>
    <w:rsid w:val="006263BA"/>
    <w:rsid w:val="00626C04"/>
    <w:rsid w:val="00627D13"/>
    <w:rsid w:val="00630003"/>
    <w:rsid w:val="006322AE"/>
    <w:rsid w:val="0063387F"/>
    <w:rsid w:val="0064055D"/>
    <w:rsid w:val="006458AB"/>
    <w:rsid w:val="0064707B"/>
    <w:rsid w:val="00650E82"/>
    <w:rsid w:val="00651223"/>
    <w:rsid w:val="00657D74"/>
    <w:rsid w:val="006617E7"/>
    <w:rsid w:val="00663721"/>
    <w:rsid w:val="00664067"/>
    <w:rsid w:val="006659C4"/>
    <w:rsid w:val="006669A7"/>
    <w:rsid w:val="00667BA5"/>
    <w:rsid w:val="00671A34"/>
    <w:rsid w:val="00673E84"/>
    <w:rsid w:val="00674A7B"/>
    <w:rsid w:val="0067508F"/>
    <w:rsid w:val="006762BF"/>
    <w:rsid w:val="0067669E"/>
    <w:rsid w:val="00680DB5"/>
    <w:rsid w:val="006837A3"/>
    <w:rsid w:val="00684F00"/>
    <w:rsid w:val="00692695"/>
    <w:rsid w:val="00693DF5"/>
    <w:rsid w:val="00697A38"/>
    <w:rsid w:val="006A0862"/>
    <w:rsid w:val="006A31A1"/>
    <w:rsid w:val="006A4362"/>
    <w:rsid w:val="006A4E00"/>
    <w:rsid w:val="006A528A"/>
    <w:rsid w:val="006A671D"/>
    <w:rsid w:val="006A77E6"/>
    <w:rsid w:val="006B0D00"/>
    <w:rsid w:val="006B148D"/>
    <w:rsid w:val="006B3B83"/>
    <w:rsid w:val="006B44BF"/>
    <w:rsid w:val="006B5B25"/>
    <w:rsid w:val="006B6F5D"/>
    <w:rsid w:val="006C520E"/>
    <w:rsid w:val="006D1BFF"/>
    <w:rsid w:val="006D3381"/>
    <w:rsid w:val="006D4E96"/>
    <w:rsid w:val="006D5D88"/>
    <w:rsid w:val="006D6600"/>
    <w:rsid w:val="006E1F8B"/>
    <w:rsid w:val="006E5251"/>
    <w:rsid w:val="006E6600"/>
    <w:rsid w:val="006E6E63"/>
    <w:rsid w:val="006E76C5"/>
    <w:rsid w:val="006E7987"/>
    <w:rsid w:val="006F0C16"/>
    <w:rsid w:val="006F0FBC"/>
    <w:rsid w:val="006F3E66"/>
    <w:rsid w:val="006F5B90"/>
    <w:rsid w:val="006F5E0C"/>
    <w:rsid w:val="006F5F68"/>
    <w:rsid w:val="006F6B83"/>
    <w:rsid w:val="006F738B"/>
    <w:rsid w:val="00703150"/>
    <w:rsid w:val="00706E80"/>
    <w:rsid w:val="00710AD3"/>
    <w:rsid w:val="00711BDB"/>
    <w:rsid w:val="007136D1"/>
    <w:rsid w:val="00714840"/>
    <w:rsid w:val="00716B5B"/>
    <w:rsid w:val="007178B3"/>
    <w:rsid w:val="0072186C"/>
    <w:rsid w:val="00722C27"/>
    <w:rsid w:val="00723CED"/>
    <w:rsid w:val="00723EB0"/>
    <w:rsid w:val="00724163"/>
    <w:rsid w:val="00725B2D"/>
    <w:rsid w:val="00726680"/>
    <w:rsid w:val="00726885"/>
    <w:rsid w:val="00726EB5"/>
    <w:rsid w:val="00727580"/>
    <w:rsid w:val="00730362"/>
    <w:rsid w:val="007314B2"/>
    <w:rsid w:val="0073242E"/>
    <w:rsid w:val="00735004"/>
    <w:rsid w:val="0073752F"/>
    <w:rsid w:val="00740D79"/>
    <w:rsid w:val="00742257"/>
    <w:rsid w:val="0075099E"/>
    <w:rsid w:val="00750B0C"/>
    <w:rsid w:val="007540BC"/>
    <w:rsid w:val="00757588"/>
    <w:rsid w:val="007577EF"/>
    <w:rsid w:val="00757E9B"/>
    <w:rsid w:val="007623D2"/>
    <w:rsid w:val="00763EF6"/>
    <w:rsid w:val="00764110"/>
    <w:rsid w:val="00766ED1"/>
    <w:rsid w:val="00767989"/>
    <w:rsid w:val="0077272B"/>
    <w:rsid w:val="007727C5"/>
    <w:rsid w:val="00774890"/>
    <w:rsid w:val="00776037"/>
    <w:rsid w:val="007773D2"/>
    <w:rsid w:val="007778FA"/>
    <w:rsid w:val="00777CA0"/>
    <w:rsid w:val="00781433"/>
    <w:rsid w:val="00781EA0"/>
    <w:rsid w:val="00782886"/>
    <w:rsid w:val="00783212"/>
    <w:rsid w:val="00786874"/>
    <w:rsid w:val="00787340"/>
    <w:rsid w:val="00790693"/>
    <w:rsid w:val="00790D93"/>
    <w:rsid w:val="00791329"/>
    <w:rsid w:val="00793FE9"/>
    <w:rsid w:val="00796FC3"/>
    <w:rsid w:val="007A014A"/>
    <w:rsid w:val="007A0614"/>
    <w:rsid w:val="007A1D94"/>
    <w:rsid w:val="007A1DAB"/>
    <w:rsid w:val="007A57DA"/>
    <w:rsid w:val="007A5D95"/>
    <w:rsid w:val="007A785C"/>
    <w:rsid w:val="007B1077"/>
    <w:rsid w:val="007B13B1"/>
    <w:rsid w:val="007B1B30"/>
    <w:rsid w:val="007B69BF"/>
    <w:rsid w:val="007B6F82"/>
    <w:rsid w:val="007B7C1F"/>
    <w:rsid w:val="007C0214"/>
    <w:rsid w:val="007C027F"/>
    <w:rsid w:val="007C35A9"/>
    <w:rsid w:val="007C4E34"/>
    <w:rsid w:val="007C6A99"/>
    <w:rsid w:val="007C7657"/>
    <w:rsid w:val="007C7A19"/>
    <w:rsid w:val="007C7BD2"/>
    <w:rsid w:val="007C7DC9"/>
    <w:rsid w:val="007D1CCD"/>
    <w:rsid w:val="007D37F6"/>
    <w:rsid w:val="007D3EF6"/>
    <w:rsid w:val="007D59C8"/>
    <w:rsid w:val="007E21B7"/>
    <w:rsid w:val="007E3A9A"/>
    <w:rsid w:val="007E3A9E"/>
    <w:rsid w:val="007E4594"/>
    <w:rsid w:val="007E4DCB"/>
    <w:rsid w:val="007E5FA3"/>
    <w:rsid w:val="007E6ABD"/>
    <w:rsid w:val="007E6E1D"/>
    <w:rsid w:val="007F2538"/>
    <w:rsid w:val="007F2B6E"/>
    <w:rsid w:val="007F2D46"/>
    <w:rsid w:val="007F43B3"/>
    <w:rsid w:val="007F5CEE"/>
    <w:rsid w:val="007F7AF4"/>
    <w:rsid w:val="00802317"/>
    <w:rsid w:val="00802385"/>
    <w:rsid w:val="00804545"/>
    <w:rsid w:val="008046B5"/>
    <w:rsid w:val="0080749A"/>
    <w:rsid w:val="0081140A"/>
    <w:rsid w:val="00811D4C"/>
    <w:rsid w:val="00813473"/>
    <w:rsid w:val="008147CC"/>
    <w:rsid w:val="00825D04"/>
    <w:rsid w:val="00826106"/>
    <w:rsid w:val="00827E8C"/>
    <w:rsid w:val="00832D22"/>
    <w:rsid w:val="00834453"/>
    <w:rsid w:val="0083636C"/>
    <w:rsid w:val="008371F1"/>
    <w:rsid w:val="00843A15"/>
    <w:rsid w:val="00846661"/>
    <w:rsid w:val="0084694A"/>
    <w:rsid w:val="00846D66"/>
    <w:rsid w:val="00851F0E"/>
    <w:rsid w:val="00852CE0"/>
    <w:rsid w:val="008536C2"/>
    <w:rsid w:val="00855528"/>
    <w:rsid w:val="00857C20"/>
    <w:rsid w:val="008666F3"/>
    <w:rsid w:val="0087073A"/>
    <w:rsid w:val="008735BC"/>
    <w:rsid w:val="00875F4C"/>
    <w:rsid w:val="008776C3"/>
    <w:rsid w:val="00882E9F"/>
    <w:rsid w:val="00882EA3"/>
    <w:rsid w:val="0088397E"/>
    <w:rsid w:val="008846B0"/>
    <w:rsid w:val="00885207"/>
    <w:rsid w:val="008858EF"/>
    <w:rsid w:val="0088669F"/>
    <w:rsid w:val="00887495"/>
    <w:rsid w:val="00890DB3"/>
    <w:rsid w:val="00890F47"/>
    <w:rsid w:val="008926E7"/>
    <w:rsid w:val="00892AC4"/>
    <w:rsid w:val="00896178"/>
    <w:rsid w:val="008A09E4"/>
    <w:rsid w:val="008A136C"/>
    <w:rsid w:val="008A3023"/>
    <w:rsid w:val="008A5332"/>
    <w:rsid w:val="008B00A4"/>
    <w:rsid w:val="008B0861"/>
    <w:rsid w:val="008B223B"/>
    <w:rsid w:val="008B2B9F"/>
    <w:rsid w:val="008B3949"/>
    <w:rsid w:val="008B4CEF"/>
    <w:rsid w:val="008B5131"/>
    <w:rsid w:val="008B5ADB"/>
    <w:rsid w:val="008B6EA1"/>
    <w:rsid w:val="008C36BA"/>
    <w:rsid w:val="008C4A88"/>
    <w:rsid w:val="008C6800"/>
    <w:rsid w:val="008E0EEA"/>
    <w:rsid w:val="008E0F7B"/>
    <w:rsid w:val="008E2276"/>
    <w:rsid w:val="008E3FBF"/>
    <w:rsid w:val="008E50B2"/>
    <w:rsid w:val="008E5CC5"/>
    <w:rsid w:val="008E720D"/>
    <w:rsid w:val="008F0C7E"/>
    <w:rsid w:val="008F2FC4"/>
    <w:rsid w:val="008F40B6"/>
    <w:rsid w:val="008F412B"/>
    <w:rsid w:val="008F5A88"/>
    <w:rsid w:val="008F6C1A"/>
    <w:rsid w:val="008F7175"/>
    <w:rsid w:val="008F75B2"/>
    <w:rsid w:val="00904271"/>
    <w:rsid w:val="009047E8"/>
    <w:rsid w:val="009074BA"/>
    <w:rsid w:val="0091541D"/>
    <w:rsid w:val="009163CE"/>
    <w:rsid w:val="009211A6"/>
    <w:rsid w:val="009249C7"/>
    <w:rsid w:val="00925260"/>
    <w:rsid w:val="009276CD"/>
    <w:rsid w:val="00927C4F"/>
    <w:rsid w:val="00927E7F"/>
    <w:rsid w:val="00931BE8"/>
    <w:rsid w:val="009329AE"/>
    <w:rsid w:val="00936974"/>
    <w:rsid w:val="009430E9"/>
    <w:rsid w:val="009434F3"/>
    <w:rsid w:val="00945103"/>
    <w:rsid w:val="0094579A"/>
    <w:rsid w:val="00947363"/>
    <w:rsid w:val="00947F14"/>
    <w:rsid w:val="00950A57"/>
    <w:rsid w:val="00951968"/>
    <w:rsid w:val="009557DD"/>
    <w:rsid w:val="00961755"/>
    <w:rsid w:val="00962F57"/>
    <w:rsid w:val="00967C8A"/>
    <w:rsid w:val="00967EE3"/>
    <w:rsid w:val="009706BB"/>
    <w:rsid w:val="00976979"/>
    <w:rsid w:val="0097769A"/>
    <w:rsid w:val="009777DE"/>
    <w:rsid w:val="00983D27"/>
    <w:rsid w:val="00985A78"/>
    <w:rsid w:val="00986261"/>
    <w:rsid w:val="00987944"/>
    <w:rsid w:val="00990B73"/>
    <w:rsid w:val="0099145E"/>
    <w:rsid w:val="00993F89"/>
    <w:rsid w:val="0099461B"/>
    <w:rsid w:val="00995212"/>
    <w:rsid w:val="00996D01"/>
    <w:rsid w:val="0099743F"/>
    <w:rsid w:val="009A03C5"/>
    <w:rsid w:val="009A0DF1"/>
    <w:rsid w:val="009A1C4D"/>
    <w:rsid w:val="009A25DA"/>
    <w:rsid w:val="009A45F5"/>
    <w:rsid w:val="009A68D9"/>
    <w:rsid w:val="009B01DF"/>
    <w:rsid w:val="009B035E"/>
    <w:rsid w:val="009B0E2A"/>
    <w:rsid w:val="009B1B31"/>
    <w:rsid w:val="009B567A"/>
    <w:rsid w:val="009B6EC9"/>
    <w:rsid w:val="009C02F2"/>
    <w:rsid w:val="009C117C"/>
    <w:rsid w:val="009C19A9"/>
    <w:rsid w:val="009C19E9"/>
    <w:rsid w:val="009C2EFE"/>
    <w:rsid w:val="009C41E9"/>
    <w:rsid w:val="009C475C"/>
    <w:rsid w:val="009D013D"/>
    <w:rsid w:val="009D1D67"/>
    <w:rsid w:val="009D220F"/>
    <w:rsid w:val="009D4F67"/>
    <w:rsid w:val="009D5609"/>
    <w:rsid w:val="009D63BC"/>
    <w:rsid w:val="009D6AE1"/>
    <w:rsid w:val="009E0C6F"/>
    <w:rsid w:val="009E0D73"/>
    <w:rsid w:val="009E3F64"/>
    <w:rsid w:val="009E48A1"/>
    <w:rsid w:val="009E6127"/>
    <w:rsid w:val="009E6D61"/>
    <w:rsid w:val="009F0077"/>
    <w:rsid w:val="009F0767"/>
    <w:rsid w:val="009F108D"/>
    <w:rsid w:val="009F34C7"/>
    <w:rsid w:val="009F7CA2"/>
    <w:rsid w:val="00A00F99"/>
    <w:rsid w:val="00A0393B"/>
    <w:rsid w:val="00A0635D"/>
    <w:rsid w:val="00A123BF"/>
    <w:rsid w:val="00A14B1E"/>
    <w:rsid w:val="00A16072"/>
    <w:rsid w:val="00A22BAC"/>
    <w:rsid w:val="00A25DA9"/>
    <w:rsid w:val="00A274AE"/>
    <w:rsid w:val="00A276AF"/>
    <w:rsid w:val="00A27882"/>
    <w:rsid w:val="00A309A5"/>
    <w:rsid w:val="00A36BFF"/>
    <w:rsid w:val="00A37318"/>
    <w:rsid w:val="00A37C02"/>
    <w:rsid w:val="00A4178A"/>
    <w:rsid w:val="00A430B1"/>
    <w:rsid w:val="00A43A1A"/>
    <w:rsid w:val="00A4558B"/>
    <w:rsid w:val="00A478D5"/>
    <w:rsid w:val="00A50C22"/>
    <w:rsid w:val="00A542A8"/>
    <w:rsid w:val="00A60378"/>
    <w:rsid w:val="00A60DFA"/>
    <w:rsid w:val="00A62ADB"/>
    <w:rsid w:val="00A63201"/>
    <w:rsid w:val="00A64340"/>
    <w:rsid w:val="00A64C55"/>
    <w:rsid w:val="00A64D49"/>
    <w:rsid w:val="00A64F3A"/>
    <w:rsid w:val="00A65A8A"/>
    <w:rsid w:val="00A65BCF"/>
    <w:rsid w:val="00A65D59"/>
    <w:rsid w:val="00A70401"/>
    <w:rsid w:val="00A7063C"/>
    <w:rsid w:val="00A737C8"/>
    <w:rsid w:val="00A7568C"/>
    <w:rsid w:val="00A7588D"/>
    <w:rsid w:val="00A80934"/>
    <w:rsid w:val="00A82600"/>
    <w:rsid w:val="00A82A3E"/>
    <w:rsid w:val="00A82B10"/>
    <w:rsid w:val="00A83C26"/>
    <w:rsid w:val="00A83F2F"/>
    <w:rsid w:val="00A83F54"/>
    <w:rsid w:val="00A916F3"/>
    <w:rsid w:val="00A92982"/>
    <w:rsid w:val="00A9433E"/>
    <w:rsid w:val="00A94E69"/>
    <w:rsid w:val="00A96301"/>
    <w:rsid w:val="00AA018B"/>
    <w:rsid w:val="00AA0B93"/>
    <w:rsid w:val="00AA22B4"/>
    <w:rsid w:val="00AA58BC"/>
    <w:rsid w:val="00AA5B66"/>
    <w:rsid w:val="00AA62A0"/>
    <w:rsid w:val="00AA660D"/>
    <w:rsid w:val="00AA6A93"/>
    <w:rsid w:val="00AA750F"/>
    <w:rsid w:val="00AB1CCE"/>
    <w:rsid w:val="00AB2F15"/>
    <w:rsid w:val="00AB3459"/>
    <w:rsid w:val="00AB52A3"/>
    <w:rsid w:val="00AB618C"/>
    <w:rsid w:val="00AC009E"/>
    <w:rsid w:val="00AC017E"/>
    <w:rsid w:val="00AC0EF4"/>
    <w:rsid w:val="00AC11C3"/>
    <w:rsid w:val="00AC1A86"/>
    <w:rsid w:val="00AC2B23"/>
    <w:rsid w:val="00AC3D90"/>
    <w:rsid w:val="00AC6A74"/>
    <w:rsid w:val="00AD0408"/>
    <w:rsid w:val="00AD2D22"/>
    <w:rsid w:val="00AD6A2F"/>
    <w:rsid w:val="00AE20AF"/>
    <w:rsid w:val="00AE23D2"/>
    <w:rsid w:val="00AE27E9"/>
    <w:rsid w:val="00AE29FB"/>
    <w:rsid w:val="00AE311A"/>
    <w:rsid w:val="00AE55C9"/>
    <w:rsid w:val="00AE60C0"/>
    <w:rsid w:val="00AE6224"/>
    <w:rsid w:val="00AE6230"/>
    <w:rsid w:val="00AE7E21"/>
    <w:rsid w:val="00AF016E"/>
    <w:rsid w:val="00AF05EF"/>
    <w:rsid w:val="00AF1A0C"/>
    <w:rsid w:val="00AF3FF0"/>
    <w:rsid w:val="00AF57A7"/>
    <w:rsid w:val="00AF649C"/>
    <w:rsid w:val="00AF7D4E"/>
    <w:rsid w:val="00B00110"/>
    <w:rsid w:val="00B013E2"/>
    <w:rsid w:val="00B02C3C"/>
    <w:rsid w:val="00B03192"/>
    <w:rsid w:val="00B039D4"/>
    <w:rsid w:val="00B03A1E"/>
    <w:rsid w:val="00B03A37"/>
    <w:rsid w:val="00B04A42"/>
    <w:rsid w:val="00B075DF"/>
    <w:rsid w:val="00B11C43"/>
    <w:rsid w:val="00B11CAB"/>
    <w:rsid w:val="00B12096"/>
    <w:rsid w:val="00B12E7A"/>
    <w:rsid w:val="00B14699"/>
    <w:rsid w:val="00B15101"/>
    <w:rsid w:val="00B16404"/>
    <w:rsid w:val="00B22340"/>
    <w:rsid w:val="00B22679"/>
    <w:rsid w:val="00B234AE"/>
    <w:rsid w:val="00B23F5A"/>
    <w:rsid w:val="00B241AC"/>
    <w:rsid w:val="00B253B0"/>
    <w:rsid w:val="00B26531"/>
    <w:rsid w:val="00B26D05"/>
    <w:rsid w:val="00B2759E"/>
    <w:rsid w:val="00B277FB"/>
    <w:rsid w:val="00B2781D"/>
    <w:rsid w:val="00B36080"/>
    <w:rsid w:val="00B3680A"/>
    <w:rsid w:val="00B36EB3"/>
    <w:rsid w:val="00B4079F"/>
    <w:rsid w:val="00B43681"/>
    <w:rsid w:val="00B4503D"/>
    <w:rsid w:val="00B45F24"/>
    <w:rsid w:val="00B46596"/>
    <w:rsid w:val="00B4699F"/>
    <w:rsid w:val="00B47938"/>
    <w:rsid w:val="00B519B5"/>
    <w:rsid w:val="00B51A38"/>
    <w:rsid w:val="00B529E0"/>
    <w:rsid w:val="00B53349"/>
    <w:rsid w:val="00B54DE0"/>
    <w:rsid w:val="00B55D3E"/>
    <w:rsid w:val="00B5738B"/>
    <w:rsid w:val="00B57C33"/>
    <w:rsid w:val="00B613B5"/>
    <w:rsid w:val="00B635EA"/>
    <w:rsid w:val="00B6415B"/>
    <w:rsid w:val="00B649E4"/>
    <w:rsid w:val="00B676FB"/>
    <w:rsid w:val="00B708D8"/>
    <w:rsid w:val="00B7180E"/>
    <w:rsid w:val="00B71BF7"/>
    <w:rsid w:val="00B74271"/>
    <w:rsid w:val="00B74DC0"/>
    <w:rsid w:val="00B76AFD"/>
    <w:rsid w:val="00B76B34"/>
    <w:rsid w:val="00B776BF"/>
    <w:rsid w:val="00B77905"/>
    <w:rsid w:val="00B80738"/>
    <w:rsid w:val="00B82909"/>
    <w:rsid w:val="00B83DE3"/>
    <w:rsid w:val="00B840D4"/>
    <w:rsid w:val="00B84FD8"/>
    <w:rsid w:val="00B85AB9"/>
    <w:rsid w:val="00B86A90"/>
    <w:rsid w:val="00B873D1"/>
    <w:rsid w:val="00B8748B"/>
    <w:rsid w:val="00B87F39"/>
    <w:rsid w:val="00B904AF"/>
    <w:rsid w:val="00B91C74"/>
    <w:rsid w:val="00B94233"/>
    <w:rsid w:val="00B94AC9"/>
    <w:rsid w:val="00B94D6E"/>
    <w:rsid w:val="00B95BC8"/>
    <w:rsid w:val="00B97BBA"/>
    <w:rsid w:val="00BA14E2"/>
    <w:rsid w:val="00BA18D9"/>
    <w:rsid w:val="00BA2759"/>
    <w:rsid w:val="00BA407F"/>
    <w:rsid w:val="00BA409B"/>
    <w:rsid w:val="00BA6C10"/>
    <w:rsid w:val="00BB2121"/>
    <w:rsid w:val="00BB22FC"/>
    <w:rsid w:val="00BB3A0F"/>
    <w:rsid w:val="00BB3A4B"/>
    <w:rsid w:val="00BB3E14"/>
    <w:rsid w:val="00BB506C"/>
    <w:rsid w:val="00BB5335"/>
    <w:rsid w:val="00BB67F3"/>
    <w:rsid w:val="00BB79ED"/>
    <w:rsid w:val="00BC231D"/>
    <w:rsid w:val="00BC29AD"/>
    <w:rsid w:val="00BC4302"/>
    <w:rsid w:val="00BC45F8"/>
    <w:rsid w:val="00BC5568"/>
    <w:rsid w:val="00BC68DE"/>
    <w:rsid w:val="00BC7A01"/>
    <w:rsid w:val="00BD311A"/>
    <w:rsid w:val="00BD3485"/>
    <w:rsid w:val="00BD47B9"/>
    <w:rsid w:val="00BD5E7A"/>
    <w:rsid w:val="00BE02C4"/>
    <w:rsid w:val="00BE0979"/>
    <w:rsid w:val="00BE1362"/>
    <w:rsid w:val="00BE3184"/>
    <w:rsid w:val="00BE4DB4"/>
    <w:rsid w:val="00BE5010"/>
    <w:rsid w:val="00BE65C0"/>
    <w:rsid w:val="00BF1D45"/>
    <w:rsid w:val="00BF3B59"/>
    <w:rsid w:val="00BF3D0A"/>
    <w:rsid w:val="00BF438E"/>
    <w:rsid w:val="00BF4F2C"/>
    <w:rsid w:val="00BF5534"/>
    <w:rsid w:val="00BF6284"/>
    <w:rsid w:val="00BF7271"/>
    <w:rsid w:val="00C03752"/>
    <w:rsid w:val="00C07BF6"/>
    <w:rsid w:val="00C1072D"/>
    <w:rsid w:val="00C10B36"/>
    <w:rsid w:val="00C121BD"/>
    <w:rsid w:val="00C14125"/>
    <w:rsid w:val="00C14671"/>
    <w:rsid w:val="00C163C9"/>
    <w:rsid w:val="00C2221E"/>
    <w:rsid w:val="00C225F4"/>
    <w:rsid w:val="00C2341E"/>
    <w:rsid w:val="00C242A5"/>
    <w:rsid w:val="00C24DAA"/>
    <w:rsid w:val="00C25242"/>
    <w:rsid w:val="00C25F3C"/>
    <w:rsid w:val="00C260E3"/>
    <w:rsid w:val="00C32D12"/>
    <w:rsid w:val="00C34748"/>
    <w:rsid w:val="00C34C71"/>
    <w:rsid w:val="00C361E5"/>
    <w:rsid w:val="00C36EAB"/>
    <w:rsid w:val="00C4042A"/>
    <w:rsid w:val="00C40FFE"/>
    <w:rsid w:val="00C43132"/>
    <w:rsid w:val="00C432B5"/>
    <w:rsid w:val="00C46468"/>
    <w:rsid w:val="00C50970"/>
    <w:rsid w:val="00C511A7"/>
    <w:rsid w:val="00C516A9"/>
    <w:rsid w:val="00C52177"/>
    <w:rsid w:val="00C543EC"/>
    <w:rsid w:val="00C5493C"/>
    <w:rsid w:val="00C55163"/>
    <w:rsid w:val="00C55E7B"/>
    <w:rsid w:val="00C56CE0"/>
    <w:rsid w:val="00C571E1"/>
    <w:rsid w:val="00C63651"/>
    <w:rsid w:val="00C63ADE"/>
    <w:rsid w:val="00C64FBC"/>
    <w:rsid w:val="00C66B0A"/>
    <w:rsid w:val="00C66D8E"/>
    <w:rsid w:val="00C66ECA"/>
    <w:rsid w:val="00C71D25"/>
    <w:rsid w:val="00C726F9"/>
    <w:rsid w:val="00C7596C"/>
    <w:rsid w:val="00C75A6D"/>
    <w:rsid w:val="00C800F6"/>
    <w:rsid w:val="00C837EF"/>
    <w:rsid w:val="00C86F12"/>
    <w:rsid w:val="00C87AC2"/>
    <w:rsid w:val="00C91903"/>
    <w:rsid w:val="00C942F9"/>
    <w:rsid w:val="00C952D9"/>
    <w:rsid w:val="00C95B35"/>
    <w:rsid w:val="00C96639"/>
    <w:rsid w:val="00CA0150"/>
    <w:rsid w:val="00CA0461"/>
    <w:rsid w:val="00CA0800"/>
    <w:rsid w:val="00CA50D4"/>
    <w:rsid w:val="00CB05D2"/>
    <w:rsid w:val="00CB0A5F"/>
    <w:rsid w:val="00CB0B0D"/>
    <w:rsid w:val="00CB62A3"/>
    <w:rsid w:val="00CB62C5"/>
    <w:rsid w:val="00CB725C"/>
    <w:rsid w:val="00CC0C24"/>
    <w:rsid w:val="00CC0C2F"/>
    <w:rsid w:val="00CC0ECE"/>
    <w:rsid w:val="00CC2B2A"/>
    <w:rsid w:val="00CC4662"/>
    <w:rsid w:val="00CC4DF6"/>
    <w:rsid w:val="00CD0E89"/>
    <w:rsid w:val="00CD2967"/>
    <w:rsid w:val="00CD3042"/>
    <w:rsid w:val="00CD33FA"/>
    <w:rsid w:val="00CD4248"/>
    <w:rsid w:val="00CD75FD"/>
    <w:rsid w:val="00CE1B63"/>
    <w:rsid w:val="00CE27E5"/>
    <w:rsid w:val="00CE4506"/>
    <w:rsid w:val="00CE59BA"/>
    <w:rsid w:val="00CE5B1B"/>
    <w:rsid w:val="00CE6E8B"/>
    <w:rsid w:val="00CF19B1"/>
    <w:rsid w:val="00CF1FBB"/>
    <w:rsid w:val="00CF1FF0"/>
    <w:rsid w:val="00CF4A6A"/>
    <w:rsid w:val="00CF632F"/>
    <w:rsid w:val="00D00D99"/>
    <w:rsid w:val="00D01694"/>
    <w:rsid w:val="00D024CF"/>
    <w:rsid w:val="00D05149"/>
    <w:rsid w:val="00D0542B"/>
    <w:rsid w:val="00D0730F"/>
    <w:rsid w:val="00D078C9"/>
    <w:rsid w:val="00D102DA"/>
    <w:rsid w:val="00D13782"/>
    <w:rsid w:val="00D14D6D"/>
    <w:rsid w:val="00D17010"/>
    <w:rsid w:val="00D200FB"/>
    <w:rsid w:val="00D21FB9"/>
    <w:rsid w:val="00D22FD8"/>
    <w:rsid w:val="00D26F04"/>
    <w:rsid w:val="00D30554"/>
    <w:rsid w:val="00D30F53"/>
    <w:rsid w:val="00D33BF8"/>
    <w:rsid w:val="00D33FDD"/>
    <w:rsid w:val="00D4046D"/>
    <w:rsid w:val="00D404ED"/>
    <w:rsid w:val="00D4151D"/>
    <w:rsid w:val="00D41721"/>
    <w:rsid w:val="00D43468"/>
    <w:rsid w:val="00D5272B"/>
    <w:rsid w:val="00D5316B"/>
    <w:rsid w:val="00D55E61"/>
    <w:rsid w:val="00D5631C"/>
    <w:rsid w:val="00D5668A"/>
    <w:rsid w:val="00D5752C"/>
    <w:rsid w:val="00D577BE"/>
    <w:rsid w:val="00D60F70"/>
    <w:rsid w:val="00D6133E"/>
    <w:rsid w:val="00D636B2"/>
    <w:rsid w:val="00D63E9F"/>
    <w:rsid w:val="00D64452"/>
    <w:rsid w:val="00D64A86"/>
    <w:rsid w:val="00D71493"/>
    <w:rsid w:val="00D721E6"/>
    <w:rsid w:val="00D72578"/>
    <w:rsid w:val="00D743A2"/>
    <w:rsid w:val="00D76178"/>
    <w:rsid w:val="00D8089C"/>
    <w:rsid w:val="00D81CD9"/>
    <w:rsid w:val="00D82263"/>
    <w:rsid w:val="00D8581E"/>
    <w:rsid w:val="00D8779E"/>
    <w:rsid w:val="00D906CE"/>
    <w:rsid w:val="00D90A7D"/>
    <w:rsid w:val="00D94214"/>
    <w:rsid w:val="00D97656"/>
    <w:rsid w:val="00DA1EA5"/>
    <w:rsid w:val="00DA2158"/>
    <w:rsid w:val="00DA2E31"/>
    <w:rsid w:val="00DA5619"/>
    <w:rsid w:val="00DA5B32"/>
    <w:rsid w:val="00DA6872"/>
    <w:rsid w:val="00DB16A9"/>
    <w:rsid w:val="00DB388B"/>
    <w:rsid w:val="00DB483F"/>
    <w:rsid w:val="00DB4AB6"/>
    <w:rsid w:val="00DB7B6B"/>
    <w:rsid w:val="00DB7BDC"/>
    <w:rsid w:val="00DC05C2"/>
    <w:rsid w:val="00DC4459"/>
    <w:rsid w:val="00DC452C"/>
    <w:rsid w:val="00DC4668"/>
    <w:rsid w:val="00DC4BC5"/>
    <w:rsid w:val="00DC78CB"/>
    <w:rsid w:val="00DC7BBA"/>
    <w:rsid w:val="00DD378C"/>
    <w:rsid w:val="00DD389F"/>
    <w:rsid w:val="00DD3DC3"/>
    <w:rsid w:val="00DD3F9A"/>
    <w:rsid w:val="00DD5857"/>
    <w:rsid w:val="00DD5A41"/>
    <w:rsid w:val="00DD616A"/>
    <w:rsid w:val="00DD7506"/>
    <w:rsid w:val="00DE0448"/>
    <w:rsid w:val="00DE0BC4"/>
    <w:rsid w:val="00DE1CBB"/>
    <w:rsid w:val="00DE3A6A"/>
    <w:rsid w:val="00DE5C3E"/>
    <w:rsid w:val="00DE6271"/>
    <w:rsid w:val="00DF04FD"/>
    <w:rsid w:val="00DF3744"/>
    <w:rsid w:val="00DF4895"/>
    <w:rsid w:val="00DF6065"/>
    <w:rsid w:val="00DF6EA2"/>
    <w:rsid w:val="00E016AA"/>
    <w:rsid w:val="00E03388"/>
    <w:rsid w:val="00E04B5D"/>
    <w:rsid w:val="00E04B97"/>
    <w:rsid w:val="00E0531F"/>
    <w:rsid w:val="00E05B51"/>
    <w:rsid w:val="00E100C8"/>
    <w:rsid w:val="00E11FAE"/>
    <w:rsid w:val="00E13014"/>
    <w:rsid w:val="00E13364"/>
    <w:rsid w:val="00E1596B"/>
    <w:rsid w:val="00E1622C"/>
    <w:rsid w:val="00E16892"/>
    <w:rsid w:val="00E169D9"/>
    <w:rsid w:val="00E20747"/>
    <w:rsid w:val="00E21380"/>
    <w:rsid w:val="00E23F1B"/>
    <w:rsid w:val="00E25CEB"/>
    <w:rsid w:val="00E266B2"/>
    <w:rsid w:val="00E3107C"/>
    <w:rsid w:val="00E31204"/>
    <w:rsid w:val="00E332F5"/>
    <w:rsid w:val="00E34F09"/>
    <w:rsid w:val="00E36509"/>
    <w:rsid w:val="00E368E3"/>
    <w:rsid w:val="00E405EB"/>
    <w:rsid w:val="00E405F3"/>
    <w:rsid w:val="00E40C2B"/>
    <w:rsid w:val="00E43984"/>
    <w:rsid w:val="00E453E1"/>
    <w:rsid w:val="00E4788E"/>
    <w:rsid w:val="00E47AF1"/>
    <w:rsid w:val="00E50984"/>
    <w:rsid w:val="00E51565"/>
    <w:rsid w:val="00E51DD9"/>
    <w:rsid w:val="00E57945"/>
    <w:rsid w:val="00E57CFB"/>
    <w:rsid w:val="00E62CCA"/>
    <w:rsid w:val="00E6360B"/>
    <w:rsid w:val="00E6362F"/>
    <w:rsid w:val="00E64511"/>
    <w:rsid w:val="00E66383"/>
    <w:rsid w:val="00E6773B"/>
    <w:rsid w:val="00E71A43"/>
    <w:rsid w:val="00E753F8"/>
    <w:rsid w:val="00E75E18"/>
    <w:rsid w:val="00E76AC3"/>
    <w:rsid w:val="00E80D1D"/>
    <w:rsid w:val="00E84C7F"/>
    <w:rsid w:val="00E84C97"/>
    <w:rsid w:val="00E86E89"/>
    <w:rsid w:val="00E876C0"/>
    <w:rsid w:val="00E87A2C"/>
    <w:rsid w:val="00E90096"/>
    <w:rsid w:val="00E90590"/>
    <w:rsid w:val="00E90C76"/>
    <w:rsid w:val="00EA0B38"/>
    <w:rsid w:val="00EA2C43"/>
    <w:rsid w:val="00EA325C"/>
    <w:rsid w:val="00EA48E5"/>
    <w:rsid w:val="00EA4BFD"/>
    <w:rsid w:val="00EA63B8"/>
    <w:rsid w:val="00EB2316"/>
    <w:rsid w:val="00EB3C07"/>
    <w:rsid w:val="00EB4FCF"/>
    <w:rsid w:val="00EB7603"/>
    <w:rsid w:val="00EC0E83"/>
    <w:rsid w:val="00EC12E3"/>
    <w:rsid w:val="00EC18C4"/>
    <w:rsid w:val="00EC1A32"/>
    <w:rsid w:val="00EC23F4"/>
    <w:rsid w:val="00EC5686"/>
    <w:rsid w:val="00EC58DB"/>
    <w:rsid w:val="00ED06EC"/>
    <w:rsid w:val="00ED39C0"/>
    <w:rsid w:val="00ED6398"/>
    <w:rsid w:val="00ED6EE7"/>
    <w:rsid w:val="00ED7D44"/>
    <w:rsid w:val="00EE1709"/>
    <w:rsid w:val="00EE2D96"/>
    <w:rsid w:val="00EE3B78"/>
    <w:rsid w:val="00EF435F"/>
    <w:rsid w:val="00EF470A"/>
    <w:rsid w:val="00EF68AE"/>
    <w:rsid w:val="00F0076C"/>
    <w:rsid w:val="00F03661"/>
    <w:rsid w:val="00F03B51"/>
    <w:rsid w:val="00F03CCA"/>
    <w:rsid w:val="00F0559F"/>
    <w:rsid w:val="00F104CB"/>
    <w:rsid w:val="00F106CA"/>
    <w:rsid w:val="00F11A18"/>
    <w:rsid w:val="00F13268"/>
    <w:rsid w:val="00F1624D"/>
    <w:rsid w:val="00F16984"/>
    <w:rsid w:val="00F16BC1"/>
    <w:rsid w:val="00F17AC5"/>
    <w:rsid w:val="00F17E2B"/>
    <w:rsid w:val="00F17FDB"/>
    <w:rsid w:val="00F22B4A"/>
    <w:rsid w:val="00F233EA"/>
    <w:rsid w:val="00F247CA"/>
    <w:rsid w:val="00F24F75"/>
    <w:rsid w:val="00F2568C"/>
    <w:rsid w:val="00F2684A"/>
    <w:rsid w:val="00F27894"/>
    <w:rsid w:val="00F30197"/>
    <w:rsid w:val="00F30994"/>
    <w:rsid w:val="00F312C6"/>
    <w:rsid w:val="00F32A26"/>
    <w:rsid w:val="00F34111"/>
    <w:rsid w:val="00F35917"/>
    <w:rsid w:val="00F36A22"/>
    <w:rsid w:val="00F4024A"/>
    <w:rsid w:val="00F43353"/>
    <w:rsid w:val="00F446AF"/>
    <w:rsid w:val="00F4470A"/>
    <w:rsid w:val="00F465BE"/>
    <w:rsid w:val="00F475BA"/>
    <w:rsid w:val="00F5245D"/>
    <w:rsid w:val="00F52AA6"/>
    <w:rsid w:val="00F54565"/>
    <w:rsid w:val="00F546D4"/>
    <w:rsid w:val="00F54B89"/>
    <w:rsid w:val="00F55794"/>
    <w:rsid w:val="00F55C2F"/>
    <w:rsid w:val="00F55C6A"/>
    <w:rsid w:val="00F56A15"/>
    <w:rsid w:val="00F56C4A"/>
    <w:rsid w:val="00F6371E"/>
    <w:rsid w:val="00F64CCF"/>
    <w:rsid w:val="00F71904"/>
    <w:rsid w:val="00F72B1D"/>
    <w:rsid w:val="00F746DB"/>
    <w:rsid w:val="00F772E7"/>
    <w:rsid w:val="00F8022C"/>
    <w:rsid w:val="00F81067"/>
    <w:rsid w:val="00F833CC"/>
    <w:rsid w:val="00F84277"/>
    <w:rsid w:val="00F869F8"/>
    <w:rsid w:val="00F86B07"/>
    <w:rsid w:val="00F87F4B"/>
    <w:rsid w:val="00F92891"/>
    <w:rsid w:val="00F93ECA"/>
    <w:rsid w:val="00F94151"/>
    <w:rsid w:val="00F942C8"/>
    <w:rsid w:val="00FA08FF"/>
    <w:rsid w:val="00FA5279"/>
    <w:rsid w:val="00FB0A01"/>
    <w:rsid w:val="00FB0C91"/>
    <w:rsid w:val="00FB114E"/>
    <w:rsid w:val="00FB1A66"/>
    <w:rsid w:val="00FB2C14"/>
    <w:rsid w:val="00FB2E8B"/>
    <w:rsid w:val="00FB3FB0"/>
    <w:rsid w:val="00FC06ED"/>
    <w:rsid w:val="00FC10D4"/>
    <w:rsid w:val="00FC3DB1"/>
    <w:rsid w:val="00FC5D05"/>
    <w:rsid w:val="00FC6E26"/>
    <w:rsid w:val="00FC72A2"/>
    <w:rsid w:val="00FD0253"/>
    <w:rsid w:val="00FD0B23"/>
    <w:rsid w:val="00FE2C9D"/>
    <w:rsid w:val="00FE4AAB"/>
    <w:rsid w:val="00FE5E69"/>
    <w:rsid w:val="00FE7C50"/>
    <w:rsid w:val="00FF30AB"/>
    <w:rsid w:val="00FF3962"/>
    <w:rsid w:val="00FF6C98"/>
    <w:rsid w:val="0173252D"/>
    <w:rsid w:val="04040B8B"/>
    <w:rsid w:val="07C912C8"/>
    <w:rsid w:val="0AE1468C"/>
    <w:rsid w:val="0BCDD082"/>
    <w:rsid w:val="0E351D92"/>
    <w:rsid w:val="0F0912BA"/>
    <w:rsid w:val="0F553938"/>
    <w:rsid w:val="10B14200"/>
    <w:rsid w:val="15EFC873"/>
    <w:rsid w:val="1654424D"/>
    <w:rsid w:val="16603ED7"/>
    <w:rsid w:val="16F79DD9"/>
    <w:rsid w:val="18F76F23"/>
    <w:rsid w:val="19FB7AAE"/>
    <w:rsid w:val="1A51619D"/>
    <w:rsid w:val="1B107BCC"/>
    <w:rsid w:val="1BC23B97"/>
    <w:rsid w:val="1DE70B84"/>
    <w:rsid w:val="1ECD281F"/>
    <w:rsid w:val="1EFD75FC"/>
    <w:rsid w:val="209C0404"/>
    <w:rsid w:val="23536501"/>
    <w:rsid w:val="24884AEB"/>
    <w:rsid w:val="259557B7"/>
    <w:rsid w:val="261A193D"/>
    <w:rsid w:val="26956D50"/>
    <w:rsid w:val="27B77F0C"/>
    <w:rsid w:val="28CF1188"/>
    <w:rsid w:val="2D8C63A3"/>
    <w:rsid w:val="2EFFA37C"/>
    <w:rsid w:val="2F2DACF9"/>
    <w:rsid w:val="308660C8"/>
    <w:rsid w:val="31185E78"/>
    <w:rsid w:val="333C5F36"/>
    <w:rsid w:val="35776C6F"/>
    <w:rsid w:val="36314876"/>
    <w:rsid w:val="369D0089"/>
    <w:rsid w:val="38B376D7"/>
    <w:rsid w:val="39DE2D7E"/>
    <w:rsid w:val="3B902B4A"/>
    <w:rsid w:val="3BEF198C"/>
    <w:rsid w:val="3D2B57A7"/>
    <w:rsid w:val="3D65434C"/>
    <w:rsid w:val="3D787079"/>
    <w:rsid w:val="3EB34392"/>
    <w:rsid w:val="3EF7A8B5"/>
    <w:rsid w:val="3EFD4340"/>
    <w:rsid w:val="3EFFB901"/>
    <w:rsid w:val="3F796DDE"/>
    <w:rsid w:val="3F7B3A4B"/>
    <w:rsid w:val="3F7EF86E"/>
    <w:rsid w:val="3FF93C04"/>
    <w:rsid w:val="3FFBF201"/>
    <w:rsid w:val="429D296E"/>
    <w:rsid w:val="435D4F14"/>
    <w:rsid w:val="43770B04"/>
    <w:rsid w:val="447FF1B2"/>
    <w:rsid w:val="464B14D3"/>
    <w:rsid w:val="477C329D"/>
    <w:rsid w:val="48860140"/>
    <w:rsid w:val="48FBFA08"/>
    <w:rsid w:val="4D6774EB"/>
    <w:rsid w:val="4EB856B6"/>
    <w:rsid w:val="4EE86780"/>
    <w:rsid w:val="4FFE74FC"/>
    <w:rsid w:val="50E7594A"/>
    <w:rsid w:val="52D41C73"/>
    <w:rsid w:val="55936D7A"/>
    <w:rsid w:val="55CD4E53"/>
    <w:rsid w:val="561B7432"/>
    <w:rsid w:val="56975010"/>
    <w:rsid w:val="5962DC4D"/>
    <w:rsid w:val="59FF8EDF"/>
    <w:rsid w:val="5BBF4869"/>
    <w:rsid w:val="5C61531C"/>
    <w:rsid w:val="5DF6EA3D"/>
    <w:rsid w:val="5E6F4C11"/>
    <w:rsid w:val="5EFA5E13"/>
    <w:rsid w:val="5F7A93EF"/>
    <w:rsid w:val="5FDB24CA"/>
    <w:rsid w:val="5FF7319D"/>
    <w:rsid w:val="5FFF2C24"/>
    <w:rsid w:val="63116577"/>
    <w:rsid w:val="63BE53AB"/>
    <w:rsid w:val="64901DEB"/>
    <w:rsid w:val="64BA7374"/>
    <w:rsid w:val="652C2472"/>
    <w:rsid w:val="65B66D7F"/>
    <w:rsid w:val="661F655D"/>
    <w:rsid w:val="6A7B16C4"/>
    <w:rsid w:val="6D4D6C0F"/>
    <w:rsid w:val="6DFF57C5"/>
    <w:rsid w:val="6EEC9B10"/>
    <w:rsid w:val="6EFB3E17"/>
    <w:rsid w:val="6F665D41"/>
    <w:rsid w:val="6FFF8F7D"/>
    <w:rsid w:val="71814B45"/>
    <w:rsid w:val="719E4F12"/>
    <w:rsid w:val="71EDCBCD"/>
    <w:rsid w:val="746074FC"/>
    <w:rsid w:val="75022074"/>
    <w:rsid w:val="76BFBA32"/>
    <w:rsid w:val="77D7096E"/>
    <w:rsid w:val="77EF4F31"/>
    <w:rsid w:val="77F354D0"/>
    <w:rsid w:val="7B2F1C17"/>
    <w:rsid w:val="7BFEB126"/>
    <w:rsid w:val="7CAE5EBF"/>
    <w:rsid w:val="7D40500C"/>
    <w:rsid w:val="7EEAA119"/>
    <w:rsid w:val="7EFF76F9"/>
    <w:rsid w:val="7F691D71"/>
    <w:rsid w:val="7F7B6B20"/>
    <w:rsid w:val="7F9F1897"/>
    <w:rsid w:val="7FBB2BE3"/>
    <w:rsid w:val="7FDAC99F"/>
    <w:rsid w:val="7FEE738D"/>
    <w:rsid w:val="7FEEDB9D"/>
    <w:rsid w:val="7FF58369"/>
    <w:rsid w:val="7FFB37C0"/>
    <w:rsid w:val="7FFF9DA7"/>
    <w:rsid w:val="8F7E7E82"/>
    <w:rsid w:val="93EFB0E5"/>
    <w:rsid w:val="9BFFD16A"/>
    <w:rsid w:val="9EFDCA7C"/>
    <w:rsid w:val="A523A431"/>
    <w:rsid w:val="A5F77E4F"/>
    <w:rsid w:val="ABDF5330"/>
    <w:rsid w:val="B7DFEE66"/>
    <w:rsid w:val="BA5DFE0B"/>
    <w:rsid w:val="BDE7F434"/>
    <w:rsid w:val="BECDE247"/>
    <w:rsid w:val="BEDD5FF4"/>
    <w:rsid w:val="BF3F76BE"/>
    <w:rsid w:val="BF8B38AC"/>
    <w:rsid w:val="BFCA5178"/>
    <w:rsid w:val="BFE9FA6F"/>
    <w:rsid w:val="C3C3B8F8"/>
    <w:rsid w:val="C5F0A9EC"/>
    <w:rsid w:val="CF750A65"/>
    <w:rsid w:val="D8F7057E"/>
    <w:rsid w:val="D96F722F"/>
    <w:rsid w:val="DBFEB7A0"/>
    <w:rsid w:val="DEEF38E3"/>
    <w:rsid w:val="DF3EF1F0"/>
    <w:rsid w:val="DFDF7648"/>
    <w:rsid w:val="DFFFDCBB"/>
    <w:rsid w:val="E37D04C4"/>
    <w:rsid w:val="E7DB806D"/>
    <w:rsid w:val="E7FB5CCC"/>
    <w:rsid w:val="ECFAA96F"/>
    <w:rsid w:val="ED7F79B7"/>
    <w:rsid w:val="EEFA027D"/>
    <w:rsid w:val="EF37C91A"/>
    <w:rsid w:val="F5FF195C"/>
    <w:rsid w:val="F6EF0016"/>
    <w:rsid w:val="F77F8431"/>
    <w:rsid w:val="F79BB299"/>
    <w:rsid w:val="F7BFC49F"/>
    <w:rsid w:val="F7DE2358"/>
    <w:rsid w:val="F9DF1DF5"/>
    <w:rsid w:val="FB7F3903"/>
    <w:rsid w:val="FC7C22BE"/>
    <w:rsid w:val="FCDA2BCE"/>
    <w:rsid w:val="FCEDFB3F"/>
    <w:rsid w:val="FF9F9A40"/>
    <w:rsid w:val="FFAF1FD9"/>
    <w:rsid w:val="FFBEF90D"/>
    <w:rsid w:val="FFCDA139"/>
    <w:rsid w:val="FFEFC4A7"/>
    <w:rsid w:val="FFF308BD"/>
    <w:rsid w:val="FFFD730B"/>
    <w:rsid w:val="FFFE0BDC"/>
    <w:rsid w:val="FFFF2C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link w:val="34"/>
    <w:qFormat/>
    <w:uiPriority w:val="0"/>
    <w:pPr>
      <w:keepNext/>
      <w:keepLines/>
      <w:spacing w:before="260" w:after="260" w:line="416" w:lineRule="auto"/>
      <w:outlineLvl w:val="1"/>
    </w:pPr>
    <w:rPr>
      <w:rFonts w:ascii="Arial" w:hAnsi="Arial" w:eastAsia="黑体"/>
      <w:b/>
      <w:sz w:val="32"/>
      <w:szCs w:val="20"/>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1"/>
    <w:semiHidden/>
    <w:qFormat/>
    <w:uiPriority w:val="0"/>
    <w:rPr>
      <w:sz w:val="18"/>
      <w:szCs w:val="18"/>
    </w:rPr>
  </w:style>
  <w:style w:type="paragraph" w:styleId="4">
    <w:name w:val="Normal Indent"/>
    <w:basedOn w:val="1"/>
    <w:qFormat/>
    <w:uiPriority w:val="0"/>
    <w:pPr>
      <w:ind w:firstLine="420" w:firstLineChars="200"/>
    </w:pPr>
  </w:style>
  <w:style w:type="paragraph" w:styleId="5">
    <w:name w:val="toc 7"/>
    <w:basedOn w:val="1"/>
    <w:next w:val="1"/>
    <w:semiHidden/>
    <w:qFormat/>
    <w:uiPriority w:val="0"/>
    <w:pPr>
      <w:ind w:left="2520" w:leftChars="1200"/>
    </w:pPr>
  </w:style>
  <w:style w:type="paragraph" w:styleId="6">
    <w:name w:val="annotation text"/>
    <w:basedOn w:val="1"/>
    <w:link w:val="45"/>
    <w:qFormat/>
    <w:uiPriority w:val="0"/>
    <w:pPr>
      <w:jc w:val="left"/>
    </w:pPr>
  </w:style>
  <w:style w:type="paragraph" w:styleId="7">
    <w:name w:val="Body Text"/>
    <w:basedOn w:val="1"/>
    <w:link w:val="36"/>
    <w:qFormat/>
    <w:uiPriority w:val="0"/>
    <w:pPr>
      <w:spacing w:line="360" w:lineRule="auto"/>
    </w:pPr>
    <w:rPr>
      <w:rFonts w:ascii="仿宋_GB2312" w:eastAsia="仿宋_GB2312"/>
      <w:color w:val="000000"/>
      <w:kern w:val="0"/>
      <w:sz w:val="24"/>
      <w:szCs w:val="28"/>
    </w:rPr>
  </w:style>
  <w:style w:type="paragraph" w:styleId="8">
    <w:name w:val="Body Text Indent"/>
    <w:basedOn w:val="1"/>
    <w:link w:val="38"/>
    <w:qFormat/>
    <w:uiPriority w:val="0"/>
    <w:pPr>
      <w:adjustRightInd w:val="0"/>
      <w:snapToGrid w:val="0"/>
      <w:spacing w:line="560" w:lineRule="exact"/>
      <w:ind w:firstLine="480" w:firstLineChars="200"/>
    </w:pPr>
    <w:rPr>
      <w:rFonts w:eastAsia="方正仿宋简体"/>
      <w:sz w:val="24"/>
      <w:szCs w:val="30"/>
    </w:rPr>
  </w:style>
  <w:style w:type="paragraph" w:styleId="9">
    <w:name w:val="toc 5"/>
    <w:basedOn w:val="1"/>
    <w:next w:val="1"/>
    <w:semiHidden/>
    <w:qFormat/>
    <w:uiPriority w:val="0"/>
    <w:pPr>
      <w:ind w:left="1680" w:leftChars="800"/>
    </w:pPr>
  </w:style>
  <w:style w:type="paragraph" w:styleId="10">
    <w:name w:val="toc 3"/>
    <w:basedOn w:val="1"/>
    <w:next w:val="1"/>
    <w:semiHidden/>
    <w:qFormat/>
    <w:uiPriority w:val="0"/>
    <w:pPr>
      <w:ind w:left="840" w:leftChars="400"/>
    </w:pPr>
  </w:style>
  <w:style w:type="paragraph" w:styleId="11">
    <w:name w:val="toc 8"/>
    <w:basedOn w:val="1"/>
    <w:next w:val="1"/>
    <w:semiHidden/>
    <w:qFormat/>
    <w:uiPriority w:val="0"/>
    <w:pPr>
      <w:ind w:left="2940" w:leftChars="1400"/>
    </w:pPr>
  </w:style>
  <w:style w:type="paragraph" w:styleId="12">
    <w:name w:val="Date"/>
    <w:basedOn w:val="1"/>
    <w:next w:val="1"/>
    <w:link w:val="51"/>
    <w:semiHidden/>
    <w:unhideWhenUsed/>
    <w:qFormat/>
    <w:uiPriority w:val="99"/>
    <w:pPr>
      <w:ind w:left="100" w:leftChars="2500"/>
    </w:pPr>
  </w:style>
  <w:style w:type="paragraph" w:styleId="13">
    <w:name w:val="Body Text Indent 2"/>
    <w:basedOn w:val="1"/>
    <w:link w:val="39"/>
    <w:qFormat/>
    <w:uiPriority w:val="0"/>
    <w:pPr>
      <w:spacing w:line="360" w:lineRule="auto"/>
      <w:ind w:firstLine="525"/>
    </w:pPr>
    <w:rPr>
      <w:rFonts w:ascii="宋体" w:hAnsi="宋体"/>
      <w:sz w:val="28"/>
      <w:szCs w:val="20"/>
    </w:rPr>
  </w:style>
  <w:style w:type="paragraph" w:styleId="14">
    <w:name w:val="footer"/>
    <w:basedOn w:val="1"/>
    <w:link w:val="33"/>
    <w:unhideWhenUsed/>
    <w:qFormat/>
    <w:uiPriority w:val="0"/>
    <w:pPr>
      <w:tabs>
        <w:tab w:val="center" w:pos="4153"/>
        <w:tab w:val="right" w:pos="8306"/>
      </w:tabs>
      <w:snapToGrid w:val="0"/>
      <w:jc w:val="left"/>
    </w:pPr>
    <w:rPr>
      <w:sz w:val="18"/>
      <w:szCs w:val="18"/>
    </w:rPr>
  </w:style>
  <w:style w:type="paragraph" w:styleId="15">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paragraph" w:styleId="17">
    <w:name w:val="toc 4"/>
    <w:basedOn w:val="1"/>
    <w:next w:val="1"/>
    <w:semiHidden/>
    <w:qFormat/>
    <w:uiPriority w:val="0"/>
    <w:pPr>
      <w:ind w:left="1260" w:leftChars="600"/>
    </w:pPr>
  </w:style>
  <w:style w:type="paragraph" w:styleId="18">
    <w:name w:val="toc 6"/>
    <w:basedOn w:val="1"/>
    <w:next w:val="1"/>
    <w:semiHidden/>
    <w:qFormat/>
    <w:uiPriority w:val="0"/>
    <w:pPr>
      <w:ind w:left="2100" w:leftChars="1000"/>
    </w:pPr>
  </w:style>
  <w:style w:type="paragraph" w:styleId="19">
    <w:name w:val="Body Text Indent 3"/>
    <w:basedOn w:val="1"/>
    <w:link w:val="40"/>
    <w:qFormat/>
    <w:uiPriority w:val="0"/>
    <w:pPr>
      <w:adjustRightInd w:val="0"/>
      <w:snapToGrid w:val="0"/>
      <w:ind w:firstLine="480" w:firstLineChars="200"/>
    </w:pPr>
    <w:rPr>
      <w:rFonts w:ascii="仿宋_GB2312" w:hAnsi="宋体" w:eastAsia="仿宋_GB2312" w:cs="Arial"/>
      <w:color w:val="000000"/>
      <w:sz w:val="24"/>
    </w:rPr>
  </w:style>
  <w:style w:type="paragraph" w:styleId="20">
    <w:name w:val="toc 2"/>
    <w:basedOn w:val="1"/>
    <w:next w:val="1"/>
    <w:semiHidden/>
    <w:qFormat/>
    <w:uiPriority w:val="0"/>
    <w:pPr>
      <w:ind w:left="420" w:leftChars="200"/>
    </w:pPr>
  </w:style>
  <w:style w:type="paragraph" w:styleId="21">
    <w:name w:val="toc 9"/>
    <w:basedOn w:val="1"/>
    <w:next w:val="1"/>
    <w:semiHidden/>
    <w:qFormat/>
    <w:uiPriority w:val="0"/>
    <w:pPr>
      <w:ind w:left="3360" w:leftChars="1600"/>
    </w:pPr>
  </w:style>
  <w:style w:type="paragraph" w:styleId="22">
    <w:name w:val="HTML Preformatted"/>
    <w:basedOn w:val="1"/>
    <w:link w:val="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4">
    <w:name w:val="annotation subject"/>
    <w:basedOn w:val="6"/>
    <w:next w:val="6"/>
    <w:link w:val="49"/>
    <w:qFormat/>
    <w:uiPriority w:val="0"/>
    <w:rPr>
      <w:b/>
      <w:bCs/>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semiHidden/>
    <w:unhideWhenUsed/>
    <w:qFormat/>
    <w:uiPriority w:val="99"/>
    <w:rPr>
      <w:color w:val="800080"/>
      <w:u w:val="single"/>
    </w:rPr>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customStyle="1" w:styleId="32">
    <w:name w:val="页眉 字符"/>
    <w:link w:val="15"/>
    <w:qFormat/>
    <w:uiPriority w:val="99"/>
    <w:rPr>
      <w:rFonts w:ascii="Times New Roman" w:hAnsi="Times New Roman"/>
      <w:kern w:val="2"/>
      <w:sz w:val="18"/>
      <w:szCs w:val="18"/>
    </w:rPr>
  </w:style>
  <w:style w:type="character" w:customStyle="1" w:styleId="33">
    <w:name w:val="页脚 字符"/>
    <w:link w:val="14"/>
    <w:qFormat/>
    <w:uiPriority w:val="0"/>
    <w:rPr>
      <w:rFonts w:ascii="Times New Roman" w:hAnsi="Times New Roman"/>
      <w:kern w:val="2"/>
      <w:sz w:val="18"/>
      <w:szCs w:val="18"/>
    </w:rPr>
  </w:style>
  <w:style w:type="character" w:customStyle="1" w:styleId="34">
    <w:name w:val="标题 2 字符"/>
    <w:link w:val="3"/>
    <w:qFormat/>
    <w:uiPriority w:val="0"/>
    <w:rPr>
      <w:rFonts w:ascii="Arial" w:hAnsi="Arial" w:eastAsia="黑体" w:cs="Times New Roman"/>
      <w:b/>
      <w:sz w:val="32"/>
      <w:szCs w:val="20"/>
    </w:rPr>
  </w:style>
  <w:style w:type="paragraph" w:customStyle="1" w:styleId="35">
    <w:name w:val="wz1"/>
    <w:basedOn w:val="1"/>
    <w:qFormat/>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szCs w:val="22"/>
    </w:rPr>
  </w:style>
  <w:style w:type="character" w:customStyle="1" w:styleId="36">
    <w:name w:val="正文文本 字符"/>
    <w:link w:val="7"/>
    <w:qFormat/>
    <w:uiPriority w:val="0"/>
    <w:rPr>
      <w:rFonts w:ascii="仿宋_GB2312" w:hAnsi="Times New Roman" w:eastAsia="仿宋_GB2312"/>
      <w:color w:val="000000"/>
      <w:sz w:val="24"/>
      <w:szCs w:val="28"/>
    </w:rPr>
  </w:style>
  <w:style w:type="character" w:customStyle="1" w:styleId="37">
    <w:name w:val="read"/>
    <w:basedOn w:val="26"/>
    <w:qFormat/>
    <w:uiPriority w:val="0"/>
  </w:style>
  <w:style w:type="character" w:customStyle="1" w:styleId="38">
    <w:name w:val="正文文本缩进 字符"/>
    <w:link w:val="8"/>
    <w:qFormat/>
    <w:uiPriority w:val="0"/>
    <w:rPr>
      <w:rFonts w:ascii="Times New Roman" w:hAnsi="Times New Roman" w:eastAsia="方正仿宋简体"/>
      <w:kern w:val="2"/>
      <w:sz w:val="24"/>
      <w:szCs w:val="30"/>
    </w:rPr>
  </w:style>
  <w:style w:type="character" w:customStyle="1" w:styleId="39">
    <w:name w:val="正文文本缩进 2 字符"/>
    <w:link w:val="13"/>
    <w:qFormat/>
    <w:uiPriority w:val="0"/>
    <w:rPr>
      <w:rFonts w:ascii="宋体" w:hAnsi="宋体"/>
      <w:kern w:val="2"/>
      <w:sz w:val="28"/>
    </w:rPr>
  </w:style>
  <w:style w:type="character" w:customStyle="1" w:styleId="40">
    <w:name w:val="正文文本缩进 3 字符"/>
    <w:link w:val="19"/>
    <w:qFormat/>
    <w:uiPriority w:val="0"/>
    <w:rPr>
      <w:rFonts w:ascii="仿宋_GB2312" w:hAnsi="宋体" w:eastAsia="仿宋_GB2312" w:cs="Arial"/>
      <w:color w:val="000000"/>
      <w:kern w:val="2"/>
      <w:sz w:val="24"/>
      <w:szCs w:val="24"/>
    </w:rPr>
  </w:style>
  <w:style w:type="character" w:customStyle="1" w:styleId="41">
    <w:name w:val="批注框文本 字符"/>
    <w:link w:val="2"/>
    <w:semiHidden/>
    <w:qFormat/>
    <w:uiPriority w:val="0"/>
    <w:rPr>
      <w:rFonts w:ascii="Times New Roman" w:hAnsi="Times New Roman"/>
      <w:kern w:val="2"/>
      <w:sz w:val="18"/>
      <w:szCs w:val="18"/>
    </w:rPr>
  </w:style>
  <w:style w:type="paragraph" w:customStyle="1" w:styleId="42">
    <w:name w:val="Char"/>
    <w:basedOn w:val="1"/>
    <w:qFormat/>
    <w:uiPriority w:val="0"/>
  </w:style>
  <w:style w:type="paragraph" w:customStyle="1" w:styleId="43">
    <w:name w:val="Char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44">
    <w:name w:val="Char Char Char"/>
    <w:basedOn w:val="1"/>
    <w:qFormat/>
    <w:uiPriority w:val="0"/>
  </w:style>
  <w:style w:type="character" w:customStyle="1" w:styleId="45">
    <w:name w:val="批注文字 字符"/>
    <w:link w:val="6"/>
    <w:qFormat/>
    <w:uiPriority w:val="0"/>
    <w:rPr>
      <w:rFonts w:ascii="Times New Roman" w:hAnsi="Times New Roman" w:eastAsia="宋体" w:cs="Times New Roman"/>
      <w:szCs w:val="24"/>
    </w:rPr>
  </w:style>
  <w:style w:type="paragraph" w:customStyle="1" w:styleId="46">
    <w:name w:val="Char Char Char Char Char Char Char1 Char Char Char Char Char Char"/>
    <w:basedOn w:val="1"/>
    <w:qFormat/>
    <w:uiPriority w:val="0"/>
  </w:style>
  <w:style w:type="paragraph" w:customStyle="1" w:styleId="47">
    <w:name w:val="Char Char"/>
    <w:basedOn w:val="1"/>
    <w:qFormat/>
    <w:uiPriority w:val="0"/>
    <w:rPr>
      <w:szCs w:val="20"/>
    </w:rPr>
  </w:style>
  <w:style w:type="character" w:customStyle="1" w:styleId="48">
    <w:name w:val="HTML 预设格式 字符"/>
    <w:link w:val="22"/>
    <w:qFormat/>
    <w:uiPriority w:val="99"/>
    <w:rPr>
      <w:rFonts w:ascii="宋体" w:hAnsi="宋体" w:cs="宋体"/>
      <w:sz w:val="24"/>
      <w:szCs w:val="24"/>
    </w:rPr>
  </w:style>
  <w:style w:type="character" w:customStyle="1" w:styleId="49">
    <w:name w:val="批注主题 字符"/>
    <w:link w:val="24"/>
    <w:qFormat/>
    <w:uiPriority w:val="0"/>
    <w:rPr>
      <w:rFonts w:ascii="Times New Roman" w:hAnsi="Times New Roman"/>
      <w:b/>
      <w:bCs/>
      <w:kern w:val="2"/>
      <w:sz w:val="21"/>
      <w:szCs w:val="24"/>
    </w:rPr>
  </w:style>
  <w:style w:type="paragraph" w:customStyle="1" w:styleId="5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1">
    <w:name w:val="日期 字符"/>
    <w:link w:val="12"/>
    <w:semiHidden/>
    <w:qFormat/>
    <w:uiPriority w:val="99"/>
    <w:rPr>
      <w:rFonts w:ascii="Times New Roman" w:hAnsi="Times New Roman"/>
      <w:kern w:val="2"/>
      <w:sz w:val="21"/>
      <w:szCs w:val="24"/>
    </w:rPr>
  </w:style>
  <w:style w:type="character" w:customStyle="1" w:styleId="52">
    <w:name w:val="批注文字 Char1"/>
    <w:qFormat/>
    <w:locked/>
    <w:uiPriority w:val="0"/>
    <w:rPr>
      <w:rFonts w:ascii="Times New Roman" w:hAnsi="Times New Roman"/>
      <w:kern w:val="2"/>
      <w:sz w:val="21"/>
    </w:r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4">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54</Pages>
  <Words>5250</Words>
  <Characters>29931</Characters>
  <Lines>249</Lines>
  <Paragraphs>70</Paragraphs>
  <TotalTime>69</TotalTime>
  <ScaleCrop>false</ScaleCrop>
  <LinksUpToDate>false</LinksUpToDate>
  <CharactersWithSpaces>35111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2024-01-31T02:50:00Z</dcterms:created>
  <dc:creator>孔令滔</dc:creator>
  <cp:lastModifiedBy>fuxj</cp:lastModifiedBy>
  <cp:lastPrinted>2021-10-27T15:04:00Z</cp:lastPrinted>
  <dcterms:modified xsi:type="dcterms:W3CDTF">2024-03-19T08:35:43Z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5D32A7C132E64E34839E81FAD0E9B583</vt:lpwstr>
  </property>
</Properties>
</file>